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3DFE2">
      <w:pPr>
        <w:rPr>
          <w:rFonts w:cs="宋体" w:asciiTheme="minorEastAsia" w:hAnsiTheme="minorEastAsia"/>
          <w:kern w:val="0"/>
          <w:sz w:val="28"/>
          <w:szCs w:val="28"/>
        </w:rPr>
      </w:pPr>
    </w:p>
    <w:p w14:paraId="3C9BEBFB">
      <w:pPr>
        <w:pStyle w:val="2"/>
      </w:pPr>
    </w:p>
    <w:p w14:paraId="77F4DFBA">
      <w:pPr>
        <w:pStyle w:val="2"/>
      </w:pPr>
    </w:p>
    <w:p w14:paraId="32115780">
      <w:pPr>
        <w:jc w:val="center"/>
        <w:rPr>
          <w:rFonts w:ascii="华文新魏" w:eastAsia="华文新魏"/>
          <w:b/>
          <w:sz w:val="100"/>
          <w:szCs w:val="100"/>
        </w:rPr>
      </w:pPr>
      <w:r>
        <w:rPr>
          <w:rFonts w:hint="eastAsia" w:ascii="华文新魏" w:eastAsia="华文新魏"/>
          <w:b/>
          <w:sz w:val="100"/>
          <w:szCs w:val="100"/>
        </w:rPr>
        <w:t>竞争性谈判文件</w:t>
      </w:r>
    </w:p>
    <w:p w14:paraId="7955C813">
      <w:pPr>
        <w:widowControl/>
        <w:spacing w:line="500" w:lineRule="exact"/>
        <w:ind w:firstLine="560"/>
        <w:jc w:val="center"/>
        <w:rPr>
          <w:rFonts w:ascii="宋体" w:hAnsi="宋体" w:eastAsia="宋体" w:cs="宋体"/>
          <w:b/>
          <w:bCs/>
          <w:kern w:val="0"/>
          <w:sz w:val="28"/>
          <w:szCs w:val="28"/>
        </w:rPr>
      </w:pPr>
    </w:p>
    <w:p w14:paraId="7A6E2612">
      <w:pPr>
        <w:pStyle w:val="2"/>
      </w:pPr>
    </w:p>
    <w:p w14:paraId="398E6DB9"/>
    <w:p w14:paraId="0D73026B">
      <w:pPr>
        <w:pStyle w:val="2"/>
      </w:pPr>
    </w:p>
    <w:p w14:paraId="65F9D3F8">
      <w:pPr>
        <w:pStyle w:val="2"/>
      </w:pPr>
    </w:p>
    <w:p w14:paraId="75C9BE05">
      <w:pPr>
        <w:spacing w:line="500" w:lineRule="exact"/>
        <w:jc w:val="left"/>
        <w:rPr>
          <w:rFonts w:cs="Times New Roman" w:asciiTheme="minorEastAsia" w:hAnsiTheme="minorEastAsia"/>
          <w:b/>
          <w:bCs/>
          <w:w w:val="90"/>
          <w:sz w:val="36"/>
          <w:szCs w:val="36"/>
        </w:rPr>
      </w:pPr>
      <w:r>
        <w:rPr>
          <w:rFonts w:hint="eastAsia" w:cs="Times New Roman" w:asciiTheme="minorEastAsia" w:hAnsiTheme="minorEastAsia"/>
          <w:b/>
          <w:bCs/>
          <w:w w:val="90"/>
          <w:sz w:val="36"/>
          <w:szCs w:val="36"/>
        </w:rPr>
        <w:t>项目名称：启东市自来水厂有限公司202</w:t>
      </w:r>
      <w:r>
        <w:rPr>
          <w:rFonts w:hint="eastAsia" w:cs="Times New Roman" w:asciiTheme="minorEastAsia" w:hAnsiTheme="minorEastAsia"/>
          <w:b/>
          <w:bCs/>
          <w:w w:val="90"/>
          <w:sz w:val="36"/>
          <w:szCs w:val="36"/>
          <w:lang w:val="en-US" w:eastAsia="zh-CN"/>
        </w:rPr>
        <w:t>5</w:t>
      </w:r>
      <w:r>
        <w:rPr>
          <w:rFonts w:hint="eastAsia" w:cs="Times New Roman" w:asciiTheme="minorEastAsia" w:hAnsiTheme="minorEastAsia"/>
          <w:b/>
          <w:bCs/>
          <w:w w:val="90"/>
          <w:sz w:val="36"/>
          <w:szCs w:val="36"/>
        </w:rPr>
        <w:t>-202</w:t>
      </w:r>
      <w:r>
        <w:rPr>
          <w:rFonts w:hint="eastAsia" w:cs="Times New Roman" w:asciiTheme="minorEastAsia" w:hAnsiTheme="minorEastAsia"/>
          <w:b/>
          <w:bCs/>
          <w:w w:val="90"/>
          <w:sz w:val="36"/>
          <w:szCs w:val="36"/>
          <w:lang w:val="en-US" w:eastAsia="zh-CN"/>
        </w:rPr>
        <w:t>6</w:t>
      </w:r>
      <w:r>
        <w:rPr>
          <w:rFonts w:hint="eastAsia" w:cs="Times New Roman" w:asciiTheme="minorEastAsia" w:hAnsiTheme="minorEastAsia"/>
          <w:b/>
          <w:bCs/>
          <w:w w:val="90"/>
          <w:sz w:val="36"/>
          <w:szCs w:val="36"/>
        </w:rPr>
        <w:t>年度收费系统、集抄平台的三级等保测评项目</w:t>
      </w:r>
    </w:p>
    <w:p w14:paraId="288A3AD8">
      <w:pPr>
        <w:pStyle w:val="2"/>
      </w:pPr>
    </w:p>
    <w:p w14:paraId="65985009"/>
    <w:p w14:paraId="13EE26AA">
      <w:pPr>
        <w:pStyle w:val="2"/>
      </w:pPr>
    </w:p>
    <w:p w14:paraId="202E817C"/>
    <w:p w14:paraId="14710305">
      <w:pPr>
        <w:pStyle w:val="2"/>
      </w:pPr>
    </w:p>
    <w:p w14:paraId="63BE7A3E"/>
    <w:p w14:paraId="3B2D34FC">
      <w:pPr>
        <w:pStyle w:val="2"/>
      </w:pPr>
    </w:p>
    <w:p w14:paraId="7396C41E"/>
    <w:p w14:paraId="69B140C3">
      <w:pPr>
        <w:pStyle w:val="2"/>
      </w:pPr>
    </w:p>
    <w:p w14:paraId="511D1CED"/>
    <w:p w14:paraId="07C87A90">
      <w:pPr>
        <w:pStyle w:val="2"/>
      </w:pPr>
    </w:p>
    <w:p w14:paraId="3B1D7BA1"/>
    <w:p w14:paraId="7C19F2BE"/>
    <w:p w14:paraId="77CFEDB7">
      <w:pPr>
        <w:pStyle w:val="2"/>
      </w:pPr>
    </w:p>
    <w:p w14:paraId="7D264CD4"/>
    <w:p w14:paraId="47A12F06">
      <w:pPr>
        <w:pStyle w:val="2"/>
      </w:pPr>
    </w:p>
    <w:p w14:paraId="4B94148C"/>
    <w:p w14:paraId="0AC010FD">
      <w:pPr>
        <w:pStyle w:val="2"/>
      </w:pPr>
    </w:p>
    <w:p w14:paraId="1CFE5866"/>
    <w:p w14:paraId="5C4D4748">
      <w:pPr>
        <w:jc w:val="center"/>
        <w:rPr>
          <w:rFonts w:asciiTheme="minorEastAsia" w:hAnsiTheme="minorEastAsia"/>
          <w:b/>
          <w:sz w:val="36"/>
          <w:szCs w:val="36"/>
        </w:rPr>
      </w:pPr>
      <w:r>
        <w:rPr>
          <w:rFonts w:hint="eastAsia" w:asciiTheme="minorEastAsia" w:hAnsiTheme="minorEastAsia"/>
          <w:b/>
          <w:sz w:val="36"/>
          <w:szCs w:val="36"/>
        </w:rPr>
        <w:t>启东市自来水厂有限公司</w:t>
      </w:r>
    </w:p>
    <w:p w14:paraId="4743E622">
      <w:pPr>
        <w:jc w:val="center"/>
        <w:rPr>
          <w:rFonts w:asciiTheme="minorEastAsia" w:hAnsiTheme="minorEastAsia"/>
          <w:b/>
          <w:sz w:val="36"/>
          <w:szCs w:val="36"/>
        </w:rPr>
      </w:pPr>
      <w:r>
        <w:rPr>
          <w:rFonts w:hint="eastAsia" w:asciiTheme="minorEastAsia" w:hAnsiTheme="minorEastAsia"/>
          <w:b/>
          <w:sz w:val="36"/>
          <w:szCs w:val="36"/>
        </w:rPr>
        <w:t>二○二</w:t>
      </w:r>
      <w:r>
        <w:rPr>
          <w:rFonts w:hint="eastAsia" w:asciiTheme="minorEastAsia" w:hAnsiTheme="minorEastAsia"/>
          <w:b/>
          <w:sz w:val="36"/>
          <w:szCs w:val="36"/>
          <w:lang w:val="en-US" w:eastAsia="zh-CN"/>
        </w:rPr>
        <w:t>五</w:t>
      </w:r>
      <w:r>
        <w:rPr>
          <w:rFonts w:hint="eastAsia" w:asciiTheme="minorEastAsia" w:hAnsiTheme="minorEastAsia"/>
          <w:b/>
          <w:sz w:val="36"/>
          <w:szCs w:val="36"/>
        </w:rPr>
        <w:t>年八月</w:t>
      </w:r>
      <w:r>
        <w:rPr>
          <w:rFonts w:hint="eastAsia" w:asciiTheme="minorEastAsia" w:hAnsiTheme="minorEastAsia"/>
          <w:b/>
          <w:sz w:val="36"/>
          <w:szCs w:val="36"/>
          <w:lang w:val="en-US" w:eastAsia="zh-CN"/>
        </w:rPr>
        <w:t>二十七</w:t>
      </w:r>
      <w:r>
        <w:rPr>
          <w:rFonts w:hint="eastAsia" w:asciiTheme="minorEastAsia" w:hAnsiTheme="minorEastAsia"/>
          <w:b/>
          <w:sz w:val="36"/>
          <w:szCs w:val="36"/>
        </w:rPr>
        <w:t>日</w:t>
      </w:r>
    </w:p>
    <w:p w14:paraId="63EAB007">
      <w:pPr>
        <w:pStyle w:val="2"/>
      </w:pPr>
    </w:p>
    <w:p w14:paraId="3367875D"/>
    <w:p w14:paraId="5AE7D9A8">
      <w:pPr>
        <w:adjustRightInd w:val="0"/>
        <w:snapToGrid w:val="0"/>
        <w:spacing w:afterLines="50" w:line="360" w:lineRule="auto"/>
        <w:ind w:left="-158" w:leftChars="-75"/>
        <w:rPr>
          <w:rFonts w:ascii="宋体" w:hAnsi="宋体" w:eastAsia="宋体" w:cs="Times New Roman"/>
          <w:b/>
          <w:snapToGrid w:val="0"/>
          <w:sz w:val="24"/>
          <w:szCs w:val="28"/>
        </w:rPr>
      </w:pPr>
    </w:p>
    <w:p w14:paraId="20EB01B4">
      <w:pPr>
        <w:pStyle w:val="2"/>
      </w:pPr>
    </w:p>
    <w:p w14:paraId="21010F12">
      <w:pPr>
        <w:widowControl/>
        <w:spacing w:line="500" w:lineRule="exact"/>
        <w:rPr>
          <w:rFonts w:ascii="宋体" w:hAnsi="宋体" w:eastAsia="宋体" w:cs="宋体"/>
          <w:b/>
          <w:bCs/>
          <w:kern w:val="0"/>
          <w:sz w:val="44"/>
          <w:szCs w:val="44"/>
        </w:rPr>
      </w:pPr>
    </w:p>
    <w:p w14:paraId="73C254AC">
      <w:pPr>
        <w:widowControl/>
        <w:spacing w:line="500" w:lineRule="exact"/>
        <w:ind w:firstLine="3379" w:firstLineChars="765"/>
        <w:rPr>
          <w:rFonts w:ascii="宋体" w:hAnsi="宋体" w:eastAsia="宋体" w:cs="宋体"/>
          <w:b/>
          <w:bCs/>
          <w:kern w:val="0"/>
          <w:sz w:val="44"/>
          <w:szCs w:val="44"/>
        </w:rPr>
      </w:pPr>
      <w:r>
        <w:rPr>
          <w:rFonts w:hint="eastAsia" w:ascii="宋体" w:hAnsi="宋体" w:eastAsia="宋体" w:cs="宋体"/>
          <w:b/>
          <w:bCs/>
          <w:kern w:val="0"/>
          <w:sz w:val="44"/>
          <w:szCs w:val="44"/>
        </w:rPr>
        <w:t>目   录</w:t>
      </w:r>
    </w:p>
    <w:p w14:paraId="5E53E8EF">
      <w:pPr>
        <w:pStyle w:val="2"/>
      </w:pPr>
    </w:p>
    <w:p w14:paraId="10766DF3"/>
    <w:p w14:paraId="40BFF7F8"/>
    <w:p w14:paraId="4B1F6F2F">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第一部分  竞争性谈判公告</w:t>
      </w:r>
    </w:p>
    <w:p w14:paraId="201AE476">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第二部分  谈判须知</w:t>
      </w:r>
    </w:p>
    <w:p w14:paraId="44737B32">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第三部分  项目需求</w:t>
      </w:r>
    </w:p>
    <w:p w14:paraId="140B9B27">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第四部分  评审方法和评审标准</w:t>
      </w:r>
    </w:p>
    <w:p w14:paraId="712D071B">
      <w:pPr>
        <w:widowControl/>
        <w:snapToGrid w:val="0"/>
        <w:spacing w:line="480" w:lineRule="auto"/>
        <w:ind w:firstLine="700" w:firstLineChars="250"/>
        <w:jc w:val="left"/>
        <w:rPr>
          <w:rFonts w:ascii="宋体" w:hAnsi="宋体" w:eastAsia="宋体" w:cs="宋体"/>
          <w:bCs/>
          <w:kern w:val="0"/>
          <w:sz w:val="28"/>
          <w:szCs w:val="28"/>
        </w:rPr>
      </w:pPr>
      <w:r>
        <w:rPr>
          <w:rFonts w:hint="eastAsia" w:ascii="宋体" w:hAnsi="宋体" w:eastAsia="宋体" w:cs="宋体"/>
          <w:bCs/>
          <w:kern w:val="0"/>
          <w:sz w:val="28"/>
          <w:szCs w:val="28"/>
        </w:rPr>
        <w:t>第五部分  响应文件组成</w:t>
      </w:r>
    </w:p>
    <w:p w14:paraId="3969E90D">
      <w:pPr>
        <w:widowControl/>
        <w:spacing w:line="500" w:lineRule="exact"/>
        <w:jc w:val="center"/>
        <w:rPr>
          <w:rFonts w:ascii="宋体" w:hAnsi="宋体" w:eastAsia="宋体" w:cs="宋体"/>
          <w:b/>
          <w:kern w:val="0"/>
          <w:sz w:val="28"/>
          <w:szCs w:val="28"/>
        </w:rPr>
      </w:pPr>
    </w:p>
    <w:p w14:paraId="59BDA945">
      <w:pPr>
        <w:widowControl/>
        <w:jc w:val="left"/>
        <w:rPr>
          <w:rFonts w:ascii="宋体" w:hAnsi="宋体" w:eastAsia="宋体" w:cs="宋体"/>
          <w:b/>
          <w:kern w:val="0"/>
          <w:sz w:val="28"/>
          <w:szCs w:val="28"/>
        </w:rPr>
      </w:pPr>
      <w:r>
        <w:rPr>
          <w:rFonts w:ascii="宋体" w:hAnsi="宋体" w:eastAsia="宋体" w:cs="宋体"/>
          <w:b/>
          <w:kern w:val="0"/>
          <w:sz w:val="28"/>
          <w:szCs w:val="28"/>
        </w:rPr>
        <w:br w:type="page"/>
      </w:r>
    </w:p>
    <w:p w14:paraId="49BA0537">
      <w:pPr>
        <w:widowControl/>
        <w:spacing w:line="500" w:lineRule="exact"/>
        <w:jc w:val="center"/>
        <w:rPr>
          <w:rFonts w:ascii="宋体" w:hAnsi="宋体" w:eastAsia="宋体" w:cs="宋体"/>
          <w:b/>
          <w:kern w:val="0"/>
          <w:sz w:val="28"/>
          <w:szCs w:val="28"/>
        </w:rPr>
      </w:pPr>
      <w:r>
        <w:rPr>
          <w:rFonts w:hint="eastAsia" w:ascii="宋体" w:hAnsi="宋体" w:eastAsia="宋体" w:cs="宋体"/>
          <w:b/>
          <w:kern w:val="0"/>
          <w:sz w:val="28"/>
          <w:szCs w:val="28"/>
        </w:rPr>
        <w:t>第一部分  竞争性谈判公告</w:t>
      </w:r>
    </w:p>
    <w:p w14:paraId="562EC139">
      <w:pPr>
        <w:pStyle w:val="2"/>
      </w:pPr>
    </w:p>
    <w:p w14:paraId="62CCD64A">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启东市自来水厂有限公司就启东市自来水厂有限公司</w:t>
      </w:r>
      <w:r>
        <w:rPr>
          <w:rFonts w:hint="eastAsia" w:asciiTheme="minorEastAsia" w:hAnsiTheme="minorEastAsia"/>
          <w:sz w:val="24"/>
          <w:szCs w:val="24"/>
          <w:lang w:eastAsia="zh-CN"/>
        </w:rPr>
        <w:t>2025-2026</w:t>
      </w:r>
      <w:r>
        <w:rPr>
          <w:rFonts w:hint="eastAsia" w:asciiTheme="minorEastAsia" w:hAnsiTheme="minorEastAsia"/>
          <w:sz w:val="24"/>
          <w:szCs w:val="24"/>
        </w:rPr>
        <w:t>年度收费系统、集抄平台的三级等保测评项目进行竞争性谈判采购，欢迎符合条件的供应商参加谈判。</w:t>
      </w:r>
    </w:p>
    <w:p w14:paraId="1211675B">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项目概况</w:t>
      </w:r>
    </w:p>
    <w:p w14:paraId="32CE31B5">
      <w:pPr>
        <w:spacing w:line="480" w:lineRule="exact"/>
        <w:ind w:firstLine="480" w:firstLineChars="200"/>
        <w:rPr>
          <w:rFonts w:asciiTheme="minorEastAsia" w:hAnsiTheme="minorEastAsia"/>
          <w:sz w:val="24"/>
          <w:szCs w:val="24"/>
          <w:highlight w:val="yellow"/>
        </w:rPr>
      </w:pPr>
      <w:r>
        <w:rPr>
          <w:rFonts w:hint="eastAsia" w:asciiTheme="minorEastAsia" w:hAnsiTheme="minorEastAsia"/>
          <w:sz w:val="24"/>
          <w:szCs w:val="24"/>
        </w:rPr>
        <w:t>启东市自来水厂有限公司</w:t>
      </w:r>
      <w:r>
        <w:rPr>
          <w:rFonts w:hint="eastAsia" w:asciiTheme="minorEastAsia" w:hAnsiTheme="minorEastAsia"/>
          <w:sz w:val="24"/>
          <w:szCs w:val="24"/>
          <w:lang w:eastAsia="zh-CN"/>
        </w:rPr>
        <w:t>2025-2026</w:t>
      </w:r>
      <w:r>
        <w:rPr>
          <w:rFonts w:hint="eastAsia" w:asciiTheme="minorEastAsia" w:hAnsiTheme="minorEastAsia"/>
          <w:sz w:val="24"/>
          <w:szCs w:val="24"/>
        </w:rPr>
        <w:t>年度收费系统、集抄平台的三级等保测评项目的潜在供应商在启东市自来水有限公司网站获取谈判文件，并于202</w:t>
      </w:r>
      <w:r>
        <w:rPr>
          <w:rFonts w:hint="eastAsia" w:asciiTheme="minorEastAsia" w:hAnsiTheme="minorEastAsia"/>
          <w:sz w:val="24"/>
          <w:szCs w:val="24"/>
          <w:lang w:val="en-US" w:eastAsia="zh-CN"/>
        </w:rPr>
        <w:t>5</w:t>
      </w:r>
      <w:r>
        <w:rPr>
          <w:rFonts w:hint="eastAsia" w:asciiTheme="minorEastAsia" w:hAnsiTheme="minorEastAsia"/>
          <w:sz w:val="24"/>
          <w:szCs w:val="24"/>
        </w:rPr>
        <w:t>年</w:t>
      </w:r>
      <w:r>
        <w:rPr>
          <w:rFonts w:hint="eastAsia" w:asciiTheme="minorEastAsia" w:hAnsiTheme="minorEastAsia"/>
          <w:sz w:val="24"/>
          <w:szCs w:val="24"/>
          <w:lang w:val="en-US" w:eastAsia="zh-CN"/>
        </w:rPr>
        <w:t>9</w:t>
      </w:r>
      <w:r>
        <w:rPr>
          <w:rFonts w:hint="eastAsia" w:asciiTheme="minorEastAsia" w:hAnsiTheme="minorEastAsia"/>
          <w:sz w:val="24"/>
          <w:szCs w:val="24"/>
        </w:rPr>
        <w:t>月</w:t>
      </w:r>
      <w:r>
        <w:rPr>
          <w:rFonts w:hint="eastAsia" w:asciiTheme="minorEastAsia" w:hAnsiTheme="minorEastAsia"/>
          <w:sz w:val="24"/>
          <w:szCs w:val="24"/>
          <w:lang w:val="en-US" w:eastAsia="zh-CN"/>
        </w:rPr>
        <w:t>2</w:t>
      </w:r>
      <w:r>
        <w:rPr>
          <w:rFonts w:hint="eastAsia" w:asciiTheme="minorEastAsia" w:hAnsiTheme="minorEastAsia"/>
          <w:sz w:val="24"/>
          <w:szCs w:val="24"/>
        </w:rPr>
        <w:t>日 9点</w:t>
      </w:r>
      <w:r>
        <w:rPr>
          <w:rFonts w:hint="eastAsia" w:asciiTheme="minorEastAsia" w:hAnsiTheme="minorEastAsia"/>
          <w:sz w:val="24"/>
          <w:szCs w:val="24"/>
          <w:lang w:val="en-US" w:eastAsia="zh-CN"/>
        </w:rPr>
        <w:t>0</w:t>
      </w:r>
      <w:r>
        <w:rPr>
          <w:rFonts w:hint="eastAsia" w:asciiTheme="minorEastAsia" w:hAnsiTheme="minorEastAsia"/>
          <w:sz w:val="24"/>
          <w:szCs w:val="24"/>
        </w:rPr>
        <w:t>0分（北京时间）前提交响应文件。</w:t>
      </w:r>
    </w:p>
    <w:p w14:paraId="600C6218">
      <w:pPr>
        <w:snapToGrid w:val="0"/>
        <w:spacing w:line="480" w:lineRule="exact"/>
        <w:ind w:left="1764" w:leftChars="266" w:hanging="1205" w:hangingChars="500"/>
        <w:rPr>
          <w:rFonts w:asciiTheme="minorEastAsia" w:hAnsiTheme="minorEastAsia"/>
          <w:b/>
          <w:bCs/>
          <w:sz w:val="24"/>
          <w:szCs w:val="24"/>
          <w:shd w:val="clear" w:color="auto" w:fill="FFFFFF"/>
        </w:rPr>
      </w:pPr>
      <w:r>
        <w:rPr>
          <w:rFonts w:hint="eastAsia" w:asciiTheme="minorEastAsia" w:hAnsiTheme="minorEastAsia"/>
          <w:b/>
          <w:bCs/>
          <w:sz w:val="24"/>
          <w:szCs w:val="24"/>
          <w:shd w:val="clear" w:color="auto" w:fill="FFFFFF"/>
        </w:rPr>
        <w:t>一、项目基本情况</w:t>
      </w:r>
    </w:p>
    <w:p w14:paraId="3261CAE7">
      <w:pPr>
        <w:spacing w:line="480" w:lineRule="exact"/>
        <w:ind w:firstLine="480" w:firstLineChars="2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项目名称：</w:t>
      </w:r>
      <w:r>
        <w:rPr>
          <w:rFonts w:hint="eastAsia" w:asciiTheme="minorEastAsia" w:hAnsiTheme="minorEastAsia"/>
          <w:sz w:val="24"/>
          <w:szCs w:val="24"/>
        </w:rPr>
        <w:t>启东市自来水厂有限公司</w:t>
      </w:r>
      <w:r>
        <w:rPr>
          <w:rFonts w:hint="eastAsia" w:asciiTheme="minorEastAsia" w:hAnsiTheme="minorEastAsia"/>
          <w:sz w:val="24"/>
          <w:szCs w:val="24"/>
          <w:lang w:eastAsia="zh-CN"/>
        </w:rPr>
        <w:t>2025-2026</w:t>
      </w:r>
      <w:r>
        <w:rPr>
          <w:rFonts w:hint="eastAsia" w:asciiTheme="minorEastAsia" w:hAnsiTheme="minorEastAsia"/>
          <w:sz w:val="24"/>
          <w:szCs w:val="24"/>
        </w:rPr>
        <w:t>年度收费系统、集抄平台的三级等保测评项目</w:t>
      </w:r>
    </w:p>
    <w:p w14:paraId="79ECE365">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项目类型：服务</w:t>
      </w:r>
    </w:p>
    <w:p w14:paraId="1BACC3BA">
      <w:pPr>
        <w:snapToGrid w:val="0"/>
        <w:spacing w:line="480" w:lineRule="exact"/>
        <w:ind w:left="71" w:leftChars="34" w:firstLine="424" w:firstLineChars="177"/>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最高限价：</w:t>
      </w:r>
      <w:r>
        <w:rPr>
          <w:rFonts w:hint="eastAsia" w:asciiTheme="majorEastAsia" w:hAnsiTheme="majorEastAsia" w:eastAsiaTheme="majorEastAsia"/>
          <w:bCs/>
          <w:sz w:val="24"/>
          <w:szCs w:val="24"/>
        </w:rPr>
        <w:t>1</w:t>
      </w:r>
      <w:r>
        <w:rPr>
          <w:rFonts w:hint="eastAsia" w:asciiTheme="majorEastAsia" w:hAnsiTheme="majorEastAsia" w:eastAsiaTheme="majorEastAsia"/>
          <w:bCs/>
          <w:sz w:val="24"/>
          <w:szCs w:val="24"/>
          <w:lang w:val="en-US" w:eastAsia="zh-CN"/>
        </w:rPr>
        <w:t>06000</w:t>
      </w:r>
      <w:r>
        <w:rPr>
          <w:rFonts w:hint="eastAsia" w:asciiTheme="majorEastAsia" w:hAnsiTheme="majorEastAsia" w:eastAsiaTheme="majorEastAsia"/>
          <w:bCs/>
          <w:sz w:val="24"/>
          <w:szCs w:val="24"/>
        </w:rPr>
        <w:t>元，投标报价超过最高限价的为无效报价。</w:t>
      </w:r>
    </w:p>
    <w:p w14:paraId="7638D30C">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采购需求：详见谈判文件，请仔细研究。</w:t>
      </w:r>
    </w:p>
    <w:p w14:paraId="1DBCD14B">
      <w:pPr>
        <w:snapToGrid w:val="0"/>
        <w:spacing w:line="480" w:lineRule="exact"/>
        <w:ind w:left="1759" w:leftChars="266" w:hanging="1200" w:hangingChars="500"/>
        <w:rPr>
          <w:rFonts w:asciiTheme="minorEastAsia" w:hAnsiTheme="minorEastAsia"/>
          <w:bCs/>
          <w:sz w:val="24"/>
          <w:szCs w:val="24"/>
          <w:shd w:val="clear" w:color="auto" w:fill="FFFFFF"/>
        </w:rPr>
      </w:pPr>
      <w:r>
        <w:rPr>
          <w:rFonts w:hint="eastAsia" w:asciiTheme="minorEastAsia" w:hAnsiTheme="minorEastAsia"/>
          <w:bCs/>
          <w:sz w:val="24"/>
          <w:szCs w:val="24"/>
          <w:shd w:val="clear" w:color="auto" w:fill="FFFFFF"/>
        </w:rPr>
        <w:t>合同履行期限：详见谈判文件第三部分。</w:t>
      </w:r>
    </w:p>
    <w:p w14:paraId="144C0A2E">
      <w:pPr>
        <w:snapToGrid w:val="0"/>
        <w:spacing w:line="480" w:lineRule="exact"/>
        <w:ind w:left="1759" w:leftChars="266" w:hanging="1200" w:hangingChars="500"/>
        <w:rPr>
          <w:rFonts w:asciiTheme="minorEastAsia" w:hAnsiTheme="minorEastAsia"/>
          <w:bCs/>
          <w:sz w:val="24"/>
          <w:szCs w:val="24"/>
          <w:shd w:val="clear" w:color="auto" w:fill="FFFFFF"/>
        </w:rPr>
      </w:pPr>
      <w:r>
        <w:rPr>
          <w:rFonts w:asciiTheme="minorEastAsia" w:hAnsiTheme="minorEastAsia"/>
          <w:bCs/>
          <w:sz w:val="24"/>
          <w:szCs w:val="24"/>
          <w:shd w:val="clear" w:color="auto" w:fill="FFFFFF"/>
        </w:rPr>
        <w:t>本项目</w:t>
      </w:r>
      <w:r>
        <w:rPr>
          <w:rFonts w:hint="eastAsia" w:asciiTheme="minorEastAsia" w:hAnsiTheme="minorEastAsia"/>
          <w:bCs/>
          <w:sz w:val="24"/>
          <w:szCs w:val="24"/>
          <w:shd w:val="clear" w:color="auto" w:fill="FFFFFF"/>
        </w:rPr>
        <w:t>是否</w:t>
      </w:r>
      <w:r>
        <w:rPr>
          <w:rFonts w:asciiTheme="minorEastAsia" w:hAnsiTheme="minorEastAsia"/>
          <w:bCs/>
          <w:sz w:val="24"/>
          <w:szCs w:val="24"/>
          <w:shd w:val="clear" w:color="auto" w:fill="FFFFFF"/>
        </w:rPr>
        <w:t>接受联合体投标：否。</w:t>
      </w:r>
    </w:p>
    <w:p w14:paraId="5257B5A8">
      <w:pPr>
        <w:snapToGrid w:val="0"/>
        <w:spacing w:line="480" w:lineRule="exact"/>
        <w:ind w:left="1764" w:leftChars="266" w:hanging="1205" w:hangingChars="5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二、供应商的资格要求</w:t>
      </w:r>
    </w:p>
    <w:p w14:paraId="1AC5E982">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1、符合《中华人民共和国政府采购法》第二十二条规定；</w:t>
      </w:r>
    </w:p>
    <w:p w14:paraId="438D4FAC">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2、未被</w:t>
      </w:r>
      <w:r>
        <w:rPr>
          <w:rFonts w:hint="eastAsia" w:asciiTheme="minorEastAsia" w:hAnsiTheme="minorEastAsia"/>
          <w:sz w:val="24"/>
          <w:szCs w:val="24"/>
        </w:rPr>
        <w:t>“信用中国”</w:t>
      </w:r>
      <w:r>
        <w:rPr>
          <w:rFonts w:hint="eastAsia" w:cs="宋体" w:asciiTheme="minorEastAsia" w:hAnsiTheme="minorEastAsia"/>
          <w:kern w:val="0"/>
          <w:sz w:val="24"/>
          <w:szCs w:val="24"/>
        </w:rPr>
        <w:t>网站列入失信被执行人、重大税收违法案件当事人名单、政府采购严重失信行为记录名单；</w:t>
      </w:r>
    </w:p>
    <w:p w14:paraId="667B4C0F">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3、对于参加报价的供应商，须具有合法的营业执照；</w:t>
      </w:r>
    </w:p>
    <w:p w14:paraId="0F6BC0A4">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4、供应商需具有有效期内的《网络安全等级测评与检测评估机构服务认证证书》；</w:t>
      </w:r>
    </w:p>
    <w:p w14:paraId="58CA8155">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5、本项目招标不接受联合体投标。</w:t>
      </w:r>
    </w:p>
    <w:p w14:paraId="681042DE">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6、禁止情形：</w:t>
      </w:r>
    </w:p>
    <w:p w14:paraId="5D8DA551">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拒绝以下投标人参与投标：</w:t>
      </w:r>
    </w:p>
    <w:p w14:paraId="7E458E3A">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①单位负责人为同一人或者存在直接控股、管理关系的不同投标人，不得参加同一合同项下的政府采购活动。</w:t>
      </w:r>
    </w:p>
    <w:p w14:paraId="0D121CAF">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②为采购项目提供整体设计、规范编制或者项目管理、监理、检测等服务的投标人，不得再参加本采购项目的其他采购活动。</w:t>
      </w:r>
    </w:p>
    <w:p w14:paraId="64086C23">
      <w:pPr>
        <w:widowControl/>
        <w:snapToGrid w:val="0"/>
        <w:spacing w:line="480" w:lineRule="exact"/>
        <w:ind w:firstLine="560"/>
        <w:jc w:val="left"/>
        <w:rPr>
          <w:rFonts w:cs="宋体" w:asciiTheme="minorEastAsia" w:hAnsiTheme="minorEastAsia"/>
          <w:b/>
          <w:kern w:val="0"/>
          <w:sz w:val="24"/>
          <w:szCs w:val="24"/>
        </w:rPr>
      </w:pPr>
      <w:r>
        <w:rPr>
          <w:rFonts w:hint="eastAsia" w:cs="宋体" w:asciiTheme="minorEastAsia" w:hAnsiTheme="minorEastAsia"/>
          <w:b/>
          <w:kern w:val="0"/>
          <w:sz w:val="24"/>
          <w:szCs w:val="24"/>
        </w:rPr>
        <w:t>三、获取采购文件</w:t>
      </w:r>
    </w:p>
    <w:p w14:paraId="5DEE563A">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时间：202</w:t>
      </w:r>
      <w:r>
        <w:rPr>
          <w:rFonts w:hint="eastAsia" w:cs="宋体" w:asciiTheme="minorEastAsia" w:hAnsiTheme="minorEastAsia"/>
          <w:kern w:val="0"/>
          <w:sz w:val="24"/>
          <w:szCs w:val="24"/>
          <w:lang w:val="en-US" w:eastAsia="zh-CN"/>
        </w:rPr>
        <w:t>5</w:t>
      </w:r>
      <w:r>
        <w:rPr>
          <w:rFonts w:hint="eastAsia" w:cs="宋体" w:asciiTheme="minorEastAsia" w:hAnsiTheme="minorEastAsia"/>
          <w:kern w:val="0"/>
          <w:sz w:val="24"/>
          <w:szCs w:val="24"/>
        </w:rPr>
        <w:t>年8月</w:t>
      </w:r>
      <w:r>
        <w:rPr>
          <w:rFonts w:hint="eastAsia" w:cs="宋体" w:asciiTheme="minorEastAsia" w:hAnsiTheme="minorEastAsia"/>
          <w:kern w:val="0"/>
          <w:sz w:val="24"/>
          <w:szCs w:val="24"/>
          <w:lang w:val="en-US" w:eastAsia="zh-CN"/>
        </w:rPr>
        <w:t>27</w:t>
      </w:r>
      <w:r>
        <w:rPr>
          <w:rFonts w:hint="eastAsia" w:cs="宋体" w:asciiTheme="minorEastAsia" w:hAnsiTheme="minorEastAsia"/>
          <w:kern w:val="0"/>
          <w:sz w:val="24"/>
          <w:szCs w:val="24"/>
        </w:rPr>
        <w:t>日至202</w:t>
      </w:r>
      <w:r>
        <w:rPr>
          <w:rFonts w:hint="eastAsia" w:cs="宋体" w:asciiTheme="minorEastAsia" w:hAnsiTheme="minorEastAsia"/>
          <w:kern w:val="0"/>
          <w:sz w:val="24"/>
          <w:szCs w:val="24"/>
          <w:lang w:val="en-US" w:eastAsia="zh-CN"/>
        </w:rPr>
        <w:t>5</w:t>
      </w:r>
      <w:r>
        <w:rPr>
          <w:rFonts w:hint="eastAsia" w:cs="宋体" w:asciiTheme="minorEastAsia" w:hAnsiTheme="minorEastAsia"/>
          <w:kern w:val="0"/>
          <w:sz w:val="24"/>
          <w:szCs w:val="24"/>
        </w:rPr>
        <w:t>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2</w:t>
      </w:r>
      <w:r>
        <w:rPr>
          <w:rFonts w:hint="eastAsia" w:cs="宋体" w:asciiTheme="minorEastAsia" w:hAnsiTheme="minorEastAsia"/>
          <w:kern w:val="0"/>
          <w:sz w:val="24"/>
          <w:szCs w:val="24"/>
        </w:rPr>
        <w:t>日</w:t>
      </w:r>
    </w:p>
    <w:p w14:paraId="32441672">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地点：启东市自来水厂有限公司网站</w:t>
      </w:r>
    </w:p>
    <w:p w14:paraId="551858A2">
      <w:pPr>
        <w:widowControl/>
        <w:snapToGrid w:val="0"/>
        <w:spacing w:line="480" w:lineRule="exact"/>
        <w:ind w:firstLine="560"/>
        <w:jc w:val="left"/>
        <w:rPr>
          <w:rFonts w:cs="宋体" w:asciiTheme="minorEastAsia" w:hAnsiTheme="minorEastAsia"/>
          <w:kern w:val="0"/>
          <w:sz w:val="24"/>
          <w:szCs w:val="24"/>
        </w:rPr>
      </w:pPr>
      <w:r>
        <w:rPr>
          <w:rFonts w:hint="eastAsia" w:cs="宋体" w:asciiTheme="minorEastAsia" w:hAnsiTheme="minorEastAsia"/>
          <w:kern w:val="0"/>
          <w:sz w:val="24"/>
          <w:szCs w:val="24"/>
        </w:rPr>
        <w:t>方式：凡有意参与谈判的供应商须自行从启东市自来水厂有限公司网站下载。</w:t>
      </w:r>
    </w:p>
    <w:p w14:paraId="0614A41B">
      <w:pPr>
        <w:widowControl/>
        <w:snapToGrid w:val="0"/>
        <w:spacing w:line="480" w:lineRule="exact"/>
        <w:ind w:firstLine="560"/>
        <w:jc w:val="left"/>
        <w:rPr>
          <w:rFonts w:cs="宋体" w:asciiTheme="minorEastAsia" w:hAnsiTheme="minorEastAsia"/>
          <w:b/>
          <w:kern w:val="0"/>
          <w:sz w:val="24"/>
          <w:szCs w:val="24"/>
        </w:rPr>
      </w:pPr>
      <w:r>
        <w:rPr>
          <w:rFonts w:hint="eastAsia" w:cs="宋体" w:asciiTheme="minorEastAsia" w:hAnsiTheme="minorEastAsia"/>
          <w:b/>
          <w:kern w:val="0"/>
          <w:sz w:val="24"/>
          <w:szCs w:val="24"/>
        </w:rPr>
        <w:t>四、递交响应文件截止时间、开标（谈判）时间和地点：</w:t>
      </w:r>
    </w:p>
    <w:p w14:paraId="078C6EEC">
      <w:pPr>
        <w:widowControl/>
        <w:snapToGrid w:val="0"/>
        <w:spacing w:line="480" w:lineRule="exact"/>
        <w:jc w:val="left"/>
        <w:rPr>
          <w:rFonts w:cs="宋体" w:asciiTheme="minorEastAsia" w:hAnsiTheme="minorEastAsia"/>
          <w:kern w:val="0"/>
          <w:sz w:val="24"/>
          <w:szCs w:val="24"/>
        </w:rPr>
      </w:pPr>
      <w:r>
        <w:rPr>
          <w:rFonts w:hint="eastAsia" w:cs="宋体" w:asciiTheme="minorEastAsia" w:hAnsiTheme="minorEastAsia"/>
          <w:kern w:val="0"/>
          <w:sz w:val="24"/>
          <w:szCs w:val="24"/>
        </w:rPr>
        <w:t>  递交时间：202</w:t>
      </w:r>
      <w:r>
        <w:rPr>
          <w:rFonts w:hint="eastAsia" w:cs="宋体" w:asciiTheme="minorEastAsia" w:hAnsiTheme="minorEastAsia"/>
          <w:kern w:val="0"/>
          <w:sz w:val="24"/>
          <w:szCs w:val="24"/>
          <w:lang w:val="en-US" w:eastAsia="zh-CN"/>
        </w:rPr>
        <w:t>5</w:t>
      </w:r>
      <w:r>
        <w:rPr>
          <w:rFonts w:hint="eastAsia" w:cs="宋体" w:asciiTheme="minorEastAsia" w:hAnsiTheme="minorEastAsia"/>
          <w:kern w:val="0"/>
          <w:sz w:val="24"/>
          <w:szCs w:val="24"/>
        </w:rPr>
        <w:t>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2</w:t>
      </w:r>
      <w:r>
        <w:rPr>
          <w:rFonts w:hint="eastAsia" w:cs="宋体" w:asciiTheme="minorEastAsia" w:hAnsiTheme="minorEastAsia"/>
          <w:kern w:val="0"/>
          <w:sz w:val="24"/>
          <w:szCs w:val="24"/>
        </w:rPr>
        <w:t>日上午08:30--09:00（北京时间）</w:t>
      </w:r>
    </w:p>
    <w:p w14:paraId="7FA1B8B8">
      <w:pPr>
        <w:widowControl/>
        <w:snapToGrid w:val="0"/>
        <w:spacing w:line="480" w:lineRule="exact"/>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截止时间：202</w:t>
      </w:r>
      <w:r>
        <w:rPr>
          <w:rFonts w:hint="eastAsia" w:cs="宋体" w:asciiTheme="minorEastAsia" w:hAnsiTheme="minorEastAsia"/>
          <w:kern w:val="0"/>
          <w:sz w:val="24"/>
          <w:szCs w:val="24"/>
          <w:lang w:val="en-US" w:eastAsia="zh-CN"/>
        </w:rPr>
        <w:t>5</w:t>
      </w:r>
      <w:r>
        <w:rPr>
          <w:rFonts w:hint="eastAsia" w:cs="宋体" w:asciiTheme="minorEastAsia" w:hAnsiTheme="minorEastAsia"/>
          <w:kern w:val="0"/>
          <w:sz w:val="24"/>
          <w:szCs w:val="24"/>
        </w:rPr>
        <w:t>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2</w:t>
      </w:r>
      <w:r>
        <w:rPr>
          <w:rFonts w:hint="eastAsia" w:cs="宋体" w:asciiTheme="minorEastAsia" w:hAnsiTheme="minorEastAsia"/>
          <w:kern w:val="0"/>
          <w:sz w:val="24"/>
          <w:szCs w:val="24"/>
        </w:rPr>
        <w:t>日上午09:00（北京时间）</w:t>
      </w:r>
    </w:p>
    <w:p w14:paraId="116B37FA">
      <w:pPr>
        <w:widowControl/>
        <w:snapToGrid w:val="0"/>
        <w:spacing w:line="480" w:lineRule="exact"/>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开标（谈判）时间：202</w:t>
      </w:r>
      <w:r>
        <w:rPr>
          <w:rFonts w:hint="eastAsia" w:cs="宋体" w:asciiTheme="minorEastAsia" w:hAnsiTheme="minorEastAsia"/>
          <w:kern w:val="0"/>
          <w:sz w:val="24"/>
          <w:szCs w:val="24"/>
          <w:lang w:val="en-US" w:eastAsia="zh-CN"/>
        </w:rPr>
        <w:t>5</w:t>
      </w:r>
      <w:r>
        <w:rPr>
          <w:rFonts w:hint="eastAsia" w:cs="宋体" w:asciiTheme="minorEastAsia" w:hAnsiTheme="minorEastAsia"/>
          <w:kern w:val="0"/>
          <w:sz w:val="24"/>
          <w:szCs w:val="24"/>
        </w:rPr>
        <w:t>年</w:t>
      </w:r>
      <w:r>
        <w:rPr>
          <w:rFonts w:hint="eastAsia" w:cs="宋体" w:asciiTheme="minorEastAsia" w:hAnsiTheme="minorEastAsia"/>
          <w:kern w:val="0"/>
          <w:sz w:val="24"/>
          <w:szCs w:val="24"/>
          <w:lang w:val="en-US" w:eastAsia="zh-CN"/>
        </w:rPr>
        <w:t>9</w:t>
      </w:r>
      <w:r>
        <w:rPr>
          <w:rFonts w:hint="eastAsia" w:cs="宋体" w:asciiTheme="minorEastAsia" w:hAnsiTheme="minorEastAsia"/>
          <w:kern w:val="0"/>
          <w:sz w:val="24"/>
          <w:szCs w:val="24"/>
        </w:rPr>
        <w:t>月</w:t>
      </w:r>
      <w:r>
        <w:rPr>
          <w:rFonts w:hint="eastAsia" w:cs="宋体" w:asciiTheme="minorEastAsia" w:hAnsiTheme="minorEastAsia"/>
          <w:kern w:val="0"/>
          <w:sz w:val="24"/>
          <w:szCs w:val="24"/>
          <w:lang w:val="en-US" w:eastAsia="zh-CN"/>
        </w:rPr>
        <w:t>2</w:t>
      </w:r>
      <w:r>
        <w:rPr>
          <w:rFonts w:hint="eastAsia" w:cs="宋体" w:asciiTheme="minorEastAsia" w:hAnsiTheme="minorEastAsia"/>
          <w:kern w:val="0"/>
          <w:sz w:val="24"/>
          <w:szCs w:val="24"/>
        </w:rPr>
        <w:t>日上午09:00（北京时间）</w:t>
      </w:r>
    </w:p>
    <w:p w14:paraId="22D3DC32">
      <w:pPr>
        <w:snapToGrid w:val="0"/>
        <w:spacing w:line="480" w:lineRule="exact"/>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开标（谈判）地点：启东城投集团有限公司(启东市汇龙镇金沙江路672号)二楼开标室。</w:t>
      </w:r>
    </w:p>
    <w:p w14:paraId="6B4CEA7D">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五、公告期限</w:t>
      </w:r>
    </w:p>
    <w:p w14:paraId="68DB2A2E">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自本公告发布之日起3个工作日。</w:t>
      </w:r>
    </w:p>
    <w:p w14:paraId="726DD9DC">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六、其他补充事宜</w:t>
      </w:r>
    </w:p>
    <w:p w14:paraId="3390C1D1">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1.投标保证金：免收</w:t>
      </w:r>
    </w:p>
    <w:p w14:paraId="504C84ED">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2.对谈判文件的询问、质疑请以书面形式向采购人提出。</w:t>
      </w:r>
    </w:p>
    <w:p w14:paraId="57ED6580">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七、凡对本次采购提出询问，请按以下方式联系</w:t>
      </w:r>
    </w:p>
    <w:p w14:paraId="1373CF4B">
      <w:pPr>
        <w:snapToGrid w:val="0"/>
        <w:spacing w:line="480" w:lineRule="exact"/>
        <w:ind w:firstLine="482" w:firstLineChars="200"/>
        <w:rPr>
          <w:rFonts w:asciiTheme="minorEastAsia" w:hAnsiTheme="minorEastAsia"/>
          <w:b/>
          <w:sz w:val="24"/>
          <w:szCs w:val="24"/>
          <w:shd w:val="clear" w:color="auto" w:fill="FFFFFF"/>
        </w:rPr>
      </w:pPr>
      <w:r>
        <w:rPr>
          <w:rFonts w:hint="eastAsia" w:asciiTheme="minorEastAsia" w:hAnsiTheme="minorEastAsia"/>
          <w:b/>
          <w:sz w:val="24"/>
          <w:szCs w:val="24"/>
          <w:shd w:val="clear" w:color="auto" w:fill="FFFFFF"/>
        </w:rPr>
        <w:t>1.采购人信息：</w:t>
      </w:r>
    </w:p>
    <w:p w14:paraId="3E2B2E5F">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名称：启东市自来水厂有限公司</w:t>
      </w:r>
    </w:p>
    <w:p w14:paraId="6D34A10B">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地址：</w:t>
      </w:r>
      <w:r>
        <w:rPr>
          <w:rFonts w:hint="eastAsia" w:cs="宋体" w:asciiTheme="majorEastAsia" w:hAnsiTheme="majorEastAsia" w:eastAsiaTheme="majorEastAsia"/>
          <w:kern w:val="0"/>
          <w:sz w:val="24"/>
          <w:szCs w:val="24"/>
        </w:rPr>
        <w:t>启东市公园中路802号</w:t>
      </w:r>
    </w:p>
    <w:p w14:paraId="6F4A53F7">
      <w:pPr>
        <w:snapToGrid w:val="0"/>
        <w:spacing w:line="480" w:lineRule="exact"/>
        <w:ind w:firstLine="480" w:firstLineChars="200"/>
        <w:rPr>
          <w:rFonts w:asciiTheme="minorEastAsia" w:hAnsiTheme="minorEastAsia"/>
          <w:sz w:val="24"/>
          <w:szCs w:val="24"/>
          <w:shd w:val="clear" w:color="auto" w:fill="FFFFFF"/>
        </w:rPr>
      </w:pPr>
      <w:r>
        <w:rPr>
          <w:rFonts w:hint="eastAsia" w:asciiTheme="minorEastAsia" w:hAnsiTheme="minorEastAsia"/>
          <w:sz w:val="24"/>
          <w:szCs w:val="24"/>
          <w:shd w:val="clear" w:color="auto" w:fill="FFFFFF"/>
        </w:rPr>
        <w:t xml:space="preserve">联系人：高明君 </w:t>
      </w:r>
    </w:p>
    <w:p w14:paraId="774EA12E">
      <w:pPr>
        <w:snapToGrid w:val="0"/>
        <w:spacing w:line="480" w:lineRule="exact"/>
        <w:ind w:firstLine="480" w:firstLineChars="200"/>
        <w:rPr>
          <w:rFonts w:cs="宋体" w:asciiTheme="minorEastAsia" w:hAnsiTheme="minorEastAsia"/>
          <w:kern w:val="0"/>
          <w:sz w:val="24"/>
          <w:szCs w:val="24"/>
        </w:rPr>
      </w:pPr>
      <w:r>
        <w:rPr>
          <w:rFonts w:hint="eastAsia" w:asciiTheme="minorEastAsia" w:hAnsiTheme="minorEastAsia"/>
          <w:sz w:val="24"/>
          <w:szCs w:val="24"/>
          <w:shd w:val="clear" w:color="auto" w:fill="FFFFFF"/>
        </w:rPr>
        <w:t>联系电话：</w:t>
      </w:r>
      <w:r>
        <w:rPr>
          <w:rFonts w:asciiTheme="minorEastAsia" w:hAnsiTheme="minorEastAsia"/>
          <w:sz w:val="24"/>
          <w:szCs w:val="24"/>
          <w:shd w:val="clear" w:color="auto" w:fill="FFFFFF"/>
        </w:rPr>
        <w:t>0513-83109995</w:t>
      </w:r>
    </w:p>
    <w:p w14:paraId="35351748">
      <w:pPr>
        <w:pStyle w:val="2"/>
      </w:pPr>
    </w:p>
    <w:p w14:paraId="7D187266">
      <w:pPr>
        <w:snapToGrid w:val="0"/>
        <w:spacing w:line="500" w:lineRule="exact"/>
        <w:jc w:val="left"/>
        <w:rPr>
          <w:rFonts w:hint="eastAsia" w:cs="仿宋" w:asciiTheme="minorEastAsia" w:hAnsiTheme="minorEastAsia"/>
          <w:b/>
          <w:sz w:val="28"/>
          <w:szCs w:val="28"/>
        </w:rPr>
      </w:pPr>
    </w:p>
    <w:p w14:paraId="32D14237">
      <w:pPr>
        <w:snapToGrid w:val="0"/>
        <w:spacing w:line="500" w:lineRule="exact"/>
        <w:jc w:val="left"/>
        <w:rPr>
          <w:rFonts w:hint="eastAsia" w:cs="仿宋" w:asciiTheme="minorEastAsia" w:hAnsiTheme="minorEastAsia"/>
          <w:b/>
          <w:sz w:val="28"/>
          <w:szCs w:val="28"/>
        </w:rPr>
      </w:pPr>
    </w:p>
    <w:p w14:paraId="4E3B0335">
      <w:pPr>
        <w:snapToGrid w:val="0"/>
        <w:spacing w:line="500" w:lineRule="exact"/>
        <w:jc w:val="left"/>
        <w:rPr>
          <w:rFonts w:hint="eastAsia" w:cs="仿宋" w:asciiTheme="minorEastAsia" w:hAnsiTheme="minorEastAsia"/>
          <w:b/>
          <w:sz w:val="28"/>
          <w:szCs w:val="28"/>
        </w:rPr>
      </w:pPr>
    </w:p>
    <w:p w14:paraId="2C247C8C">
      <w:pPr>
        <w:snapToGrid w:val="0"/>
        <w:spacing w:line="500" w:lineRule="exact"/>
        <w:jc w:val="left"/>
        <w:rPr>
          <w:rFonts w:hint="eastAsia" w:cs="仿宋" w:asciiTheme="minorEastAsia" w:hAnsiTheme="minorEastAsia"/>
          <w:b/>
          <w:sz w:val="28"/>
          <w:szCs w:val="28"/>
        </w:rPr>
      </w:pPr>
    </w:p>
    <w:p w14:paraId="7EF73E9B">
      <w:pPr>
        <w:snapToGrid w:val="0"/>
        <w:spacing w:line="500" w:lineRule="exact"/>
        <w:jc w:val="left"/>
        <w:rPr>
          <w:rFonts w:hint="eastAsia" w:cs="仿宋" w:asciiTheme="minorEastAsia" w:hAnsiTheme="minorEastAsia"/>
          <w:b/>
          <w:sz w:val="28"/>
          <w:szCs w:val="28"/>
        </w:rPr>
      </w:pPr>
    </w:p>
    <w:p w14:paraId="0201CEE1">
      <w:pPr>
        <w:snapToGrid w:val="0"/>
        <w:spacing w:line="500" w:lineRule="exact"/>
        <w:jc w:val="left"/>
        <w:rPr>
          <w:rFonts w:hint="eastAsia" w:cs="仿宋" w:asciiTheme="minorEastAsia" w:hAnsiTheme="minorEastAsia"/>
          <w:b/>
          <w:sz w:val="28"/>
          <w:szCs w:val="28"/>
        </w:rPr>
      </w:pPr>
    </w:p>
    <w:p w14:paraId="0AC046B7">
      <w:pPr>
        <w:snapToGrid w:val="0"/>
        <w:spacing w:line="500" w:lineRule="exact"/>
        <w:jc w:val="left"/>
        <w:rPr>
          <w:rFonts w:cs="仿宋" w:asciiTheme="minorEastAsia" w:hAnsiTheme="minorEastAsia"/>
          <w:b/>
          <w:sz w:val="28"/>
          <w:szCs w:val="28"/>
        </w:rPr>
      </w:pPr>
      <w:r>
        <w:rPr>
          <w:rFonts w:hint="eastAsia" w:cs="仿宋" w:asciiTheme="minorEastAsia" w:hAnsiTheme="minorEastAsia"/>
          <w:b/>
          <w:sz w:val="28"/>
          <w:szCs w:val="28"/>
        </w:rPr>
        <w:t>附件：谈判文件</w:t>
      </w:r>
    </w:p>
    <w:p w14:paraId="3A06B0F8">
      <w:pPr>
        <w:snapToGrid w:val="0"/>
        <w:spacing w:line="500" w:lineRule="exact"/>
        <w:jc w:val="center"/>
        <w:rPr>
          <w:rFonts w:ascii="宋体" w:hAnsi="宋体" w:eastAsia="宋体" w:cs="Times New Roman"/>
          <w:b/>
          <w:sz w:val="28"/>
          <w:szCs w:val="28"/>
        </w:rPr>
      </w:pPr>
    </w:p>
    <w:p w14:paraId="3D7DAA63">
      <w:pPr>
        <w:snapToGrid w:val="0"/>
        <w:spacing w:line="500" w:lineRule="exact"/>
        <w:jc w:val="center"/>
        <w:rPr>
          <w:rFonts w:ascii="宋体" w:hAnsi="宋体" w:eastAsia="宋体" w:cs="Times New Roman"/>
          <w:b/>
          <w:sz w:val="28"/>
          <w:szCs w:val="28"/>
        </w:rPr>
      </w:pPr>
      <w:r>
        <w:rPr>
          <w:rFonts w:hint="eastAsia" w:ascii="宋体" w:hAnsi="宋体" w:eastAsia="宋体" w:cs="Times New Roman"/>
          <w:b/>
          <w:sz w:val="28"/>
          <w:szCs w:val="28"/>
        </w:rPr>
        <w:t>第二部分  谈判须知</w:t>
      </w:r>
    </w:p>
    <w:p w14:paraId="087F1622">
      <w:pPr>
        <w:snapToGrid w:val="0"/>
        <w:spacing w:line="500" w:lineRule="exact"/>
        <w:rPr>
          <w:rFonts w:asciiTheme="minorEastAsia" w:hAnsiTheme="minorEastAsia"/>
          <w:b/>
          <w:sz w:val="24"/>
          <w:szCs w:val="24"/>
        </w:rPr>
      </w:pPr>
      <w:r>
        <w:rPr>
          <w:rFonts w:hint="eastAsia" w:asciiTheme="minorEastAsia" w:hAnsiTheme="minorEastAsia"/>
          <w:b/>
          <w:sz w:val="24"/>
          <w:szCs w:val="24"/>
        </w:rPr>
        <w:t>一、总则</w:t>
      </w:r>
    </w:p>
    <w:p w14:paraId="75D27EF9">
      <w:pPr>
        <w:snapToGrid w:val="0"/>
        <w:spacing w:line="500" w:lineRule="exact"/>
        <w:rPr>
          <w:rFonts w:asciiTheme="minorEastAsia" w:hAnsiTheme="minorEastAsia"/>
          <w:sz w:val="24"/>
          <w:szCs w:val="24"/>
        </w:rPr>
      </w:pPr>
      <w:r>
        <w:rPr>
          <w:rFonts w:hint="eastAsia" w:asciiTheme="minorEastAsia" w:hAnsiTheme="minorEastAsia"/>
          <w:sz w:val="24"/>
          <w:szCs w:val="24"/>
        </w:rPr>
        <w:t>1.采购方式</w:t>
      </w:r>
    </w:p>
    <w:p w14:paraId="7F04D34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1.1本次采取竞争性谈判方式，本谈判文件仅适用于谈判公告中所述项目。</w:t>
      </w:r>
    </w:p>
    <w:p w14:paraId="51250F5C">
      <w:pPr>
        <w:snapToGrid w:val="0"/>
        <w:spacing w:line="500" w:lineRule="exact"/>
        <w:rPr>
          <w:rFonts w:asciiTheme="minorEastAsia" w:hAnsiTheme="minorEastAsia"/>
          <w:sz w:val="24"/>
          <w:szCs w:val="24"/>
        </w:rPr>
      </w:pPr>
      <w:r>
        <w:rPr>
          <w:rFonts w:hint="eastAsia" w:asciiTheme="minorEastAsia" w:hAnsiTheme="minorEastAsia"/>
          <w:sz w:val="24"/>
          <w:szCs w:val="24"/>
        </w:rPr>
        <w:t>2.合格的谈判供应商</w:t>
      </w:r>
    </w:p>
    <w:p w14:paraId="562243B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2.1满足谈判公告中供应商的资格要求的规定。</w:t>
      </w:r>
    </w:p>
    <w:p w14:paraId="66FD162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2.2满足本谈判文件实质性条款的规定。</w:t>
      </w:r>
    </w:p>
    <w:p w14:paraId="6DF40CF2">
      <w:pPr>
        <w:snapToGrid w:val="0"/>
        <w:spacing w:line="500" w:lineRule="exact"/>
        <w:rPr>
          <w:rFonts w:asciiTheme="minorEastAsia" w:hAnsiTheme="minorEastAsia"/>
          <w:sz w:val="24"/>
          <w:szCs w:val="24"/>
        </w:rPr>
      </w:pPr>
      <w:r>
        <w:rPr>
          <w:rFonts w:hint="eastAsia" w:asciiTheme="minorEastAsia" w:hAnsiTheme="minorEastAsia"/>
          <w:sz w:val="24"/>
          <w:szCs w:val="24"/>
        </w:rPr>
        <w:t>3.适用法律</w:t>
      </w:r>
    </w:p>
    <w:p w14:paraId="15F5BC3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3.1本次采购及由此产生的合同受中华人民共和国有关的法律法规制约和保护。</w:t>
      </w:r>
    </w:p>
    <w:p w14:paraId="21734ABD">
      <w:pPr>
        <w:snapToGrid w:val="0"/>
        <w:spacing w:line="500" w:lineRule="exact"/>
        <w:rPr>
          <w:rFonts w:asciiTheme="minorEastAsia" w:hAnsiTheme="minorEastAsia"/>
          <w:sz w:val="24"/>
          <w:szCs w:val="24"/>
        </w:rPr>
      </w:pPr>
      <w:r>
        <w:rPr>
          <w:rFonts w:hint="eastAsia" w:asciiTheme="minorEastAsia" w:hAnsiTheme="minorEastAsia"/>
          <w:sz w:val="24"/>
          <w:szCs w:val="24"/>
        </w:rPr>
        <w:t>4.谈判费用</w:t>
      </w:r>
    </w:p>
    <w:p w14:paraId="1EC23FC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4.1参加谈判的供应商应自行承担所有与参加谈判有关的费用，无论谈判过程中的做法和结果如何，采购人、采购代理机构在任何情况下均无义务和责任承担这些费用。</w:t>
      </w:r>
    </w:p>
    <w:p w14:paraId="2C5D7184">
      <w:pPr>
        <w:snapToGrid w:val="0"/>
        <w:spacing w:line="500" w:lineRule="exact"/>
        <w:rPr>
          <w:rFonts w:asciiTheme="minorEastAsia" w:hAnsiTheme="minorEastAsia"/>
          <w:sz w:val="24"/>
          <w:szCs w:val="24"/>
        </w:rPr>
      </w:pPr>
      <w:r>
        <w:rPr>
          <w:rFonts w:hint="eastAsia" w:asciiTheme="minorEastAsia" w:hAnsiTheme="minorEastAsia"/>
          <w:sz w:val="24"/>
          <w:szCs w:val="24"/>
        </w:rPr>
        <w:t>5.谈判文件的约束力</w:t>
      </w:r>
    </w:p>
    <w:p w14:paraId="0258F48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5.1供应商一旦参加本项目采购活动，即被认为接受了本谈判文件的规定和约束。</w:t>
      </w:r>
    </w:p>
    <w:p w14:paraId="653D779B">
      <w:pPr>
        <w:snapToGrid w:val="0"/>
        <w:spacing w:line="500" w:lineRule="exact"/>
        <w:rPr>
          <w:rFonts w:asciiTheme="minorEastAsia" w:hAnsiTheme="minorEastAsia"/>
          <w:sz w:val="24"/>
          <w:szCs w:val="24"/>
        </w:rPr>
      </w:pPr>
      <w:r>
        <w:rPr>
          <w:rFonts w:hint="eastAsia" w:asciiTheme="minorEastAsia" w:hAnsiTheme="minorEastAsia"/>
          <w:sz w:val="24"/>
          <w:szCs w:val="24"/>
        </w:rPr>
        <w:t>6.谈判文件的解释</w:t>
      </w:r>
    </w:p>
    <w:p w14:paraId="16674D7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6.1谈判文件由采购人解释。</w:t>
      </w:r>
    </w:p>
    <w:p w14:paraId="1FF7F8E0">
      <w:pPr>
        <w:snapToGrid w:val="0"/>
        <w:spacing w:line="500" w:lineRule="exact"/>
        <w:ind w:firstLine="482" w:firstLineChars="200"/>
        <w:rPr>
          <w:rFonts w:asciiTheme="minorEastAsia" w:hAnsiTheme="minorEastAsia"/>
          <w:b/>
          <w:sz w:val="24"/>
          <w:szCs w:val="24"/>
        </w:rPr>
      </w:pPr>
      <w:r>
        <w:rPr>
          <w:rFonts w:hint="eastAsia" w:asciiTheme="minorEastAsia" w:hAnsiTheme="minorEastAsia"/>
          <w:b/>
          <w:sz w:val="24"/>
          <w:szCs w:val="24"/>
        </w:rPr>
        <w:t>二、谈判文件</w:t>
      </w:r>
    </w:p>
    <w:p w14:paraId="3B6E47BF">
      <w:pPr>
        <w:snapToGrid w:val="0"/>
        <w:spacing w:line="500" w:lineRule="exact"/>
        <w:rPr>
          <w:rFonts w:asciiTheme="minorEastAsia" w:hAnsiTheme="minorEastAsia"/>
          <w:sz w:val="24"/>
          <w:szCs w:val="24"/>
        </w:rPr>
      </w:pPr>
      <w:r>
        <w:rPr>
          <w:rFonts w:hint="eastAsia" w:asciiTheme="minorEastAsia" w:hAnsiTheme="minorEastAsia"/>
          <w:sz w:val="24"/>
          <w:szCs w:val="24"/>
        </w:rPr>
        <w:t>1.谈判文件构成</w:t>
      </w:r>
    </w:p>
    <w:p w14:paraId="1D69CC6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1.1谈判文件由以下部分组成：</w:t>
      </w:r>
    </w:p>
    <w:p w14:paraId="7D1DA14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（1）竞争性谈判公告</w:t>
      </w:r>
    </w:p>
    <w:p w14:paraId="2E800F6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（2）谈判须知</w:t>
      </w:r>
    </w:p>
    <w:p w14:paraId="204E611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（3）项目需求</w:t>
      </w:r>
    </w:p>
    <w:p w14:paraId="5F6B921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（4）评审方法和评审标准</w:t>
      </w:r>
    </w:p>
    <w:p w14:paraId="4EA5E52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（5）响应文件组成</w:t>
      </w:r>
    </w:p>
    <w:p w14:paraId="0328696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（6）附件</w:t>
      </w:r>
    </w:p>
    <w:p w14:paraId="7C5BCD7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请仔细检查谈判文件是否齐全，如有缺漏请立即与</w:t>
      </w:r>
      <w:r>
        <w:rPr>
          <w:rFonts w:hint="eastAsia" w:asciiTheme="minorEastAsia" w:hAnsiTheme="minorEastAsia"/>
          <w:sz w:val="24"/>
          <w:szCs w:val="24"/>
          <w:lang w:val="en-US" w:eastAsia="zh-CN"/>
        </w:rPr>
        <w:t>采购人</w:t>
      </w:r>
      <w:r>
        <w:rPr>
          <w:rFonts w:hint="eastAsia" w:asciiTheme="minorEastAsia" w:hAnsiTheme="minorEastAsia"/>
          <w:sz w:val="24"/>
          <w:szCs w:val="24"/>
        </w:rPr>
        <w:t>联系解决。</w:t>
      </w:r>
    </w:p>
    <w:p w14:paraId="4CF3886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供应商应认真阅读谈判文件中所有的事项、格式、条款和规范等要求。按谈判文件要求和规定编制响应文件，并保证所提供的全部资料的真实性，以使其响应文件对谈判文件作出实质性响应，否则其风险由供应商自行承担。</w:t>
      </w:r>
    </w:p>
    <w:p w14:paraId="12775099">
      <w:pPr>
        <w:snapToGrid w:val="0"/>
        <w:spacing w:line="500" w:lineRule="exact"/>
        <w:rPr>
          <w:rFonts w:asciiTheme="minorEastAsia" w:hAnsiTheme="minorEastAsia"/>
          <w:sz w:val="24"/>
          <w:szCs w:val="24"/>
        </w:rPr>
      </w:pPr>
      <w:r>
        <w:rPr>
          <w:rFonts w:hint="eastAsia" w:asciiTheme="minorEastAsia" w:hAnsiTheme="minorEastAsia"/>
          <w:sz w:val="24"/>
          <w:szCs w:val="24"/>
        </w:rPr>
        <w:t>2.谈判文件的澄清</w:t>
      </w:r>
    </w:p>
    <w:p w14:paraId="57BB55F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2.1任何要求对谈判文件进行澄清的供应商，应在提交首次谈判响应文件截止时间二日前以书面形式递交给采购人。采购人有权对发出的谈判文件进行必要的澄清或修改。</w:t>
      </w:r>
    </w:p>
    <w:p w14:paraId="684F379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2.2采购人视情组织答疑会</w:t>
      </w:r>
    </w:p>
    <w:p w14:paraId="1A6B21A4">
      <w:pPr>
        <w:snapToGrid w:val="0"/>
        <w:spacing w:line="500" w:lineRule="exact"/>
        <w:rPr>
          <w:rFonts w:asciiTheme="minorEastAsia" w:hAnsiTheme="minorEastAsia"/>
          <w:sz w:val="24"/>
          <w:szCs w:val="24"/>
        </w:rPr>
      </w:pPr>
      <w:r>
        <w:rPr>
          <w:rFonts w:hint="eastAsia" w:asciiTheme="minorEastAsia" w:hAnsiTheme="minorEastAsia"/>
          <w:sz w:val="24"/>
          <w:szCs w:val="24"/>
        </w:rPr>
        <w:t>3.谈判文件的修改</w:t>
      </w:r>
    </w:p>
    <w:p w14:paraId="29BE4A1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3.1在谈判响应文件递交截止时间前，采购人可以对谈判文件进行修改。</w:t>
      </w:r>
    </w:p>
    <w:p w14:paraId="6BE5281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3.2采购人有权按照法定的要求推迟响应文件递交截止日期和谈判日期。</w:t>
      </w:r>
    </w:p>
    <w:p w14:paraId="17BBBD7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3.3谈判文件的修改将在启东市自来水有限公司网站公布，补充文件将作为谈判文件的组成部分，并对供应商具有约束力。</w:t>
      </w:r>
    </w:p>
    <w:p w14:paraId="18094285">
      <w:pPr>
        <w:snapToGrid w:val="0"/>
        <w:spacing w:line="500" w:lineRule="exact"/>
        <w:rPr>
          <w:rFonts w:asciiTheme="minorEastAsia" w:hAnsiTheme="minorEastAsia"/>
          <w:b/>
          <w:sz w:val="24"/>
          <w:szCs w:val="24"/>
        </w:rPr>
      </w:pPr>
      <w:r>
        <w:rPr>
          <w:rFonts w:hint="eastAsia" w:asciiTheme="minorEastAsia" w:hAnsiTheme="minorEastAsia"/>
          <w:b/>
          <w:sz w:val="24"/>
          <w:szCs w:val="24"/>
        </w:rPr>
        <w:t>三、响应文件的编制</w:t>
      </w:r>
    </w:p>
    <w:p w14:paraId="2C5ADCCB">
      <w:pPr>
        <w:snapToGrid w:val="0"/>
        <w:spacing w:line="500" w:lineRule="exact"/>
        <w:rPr>
          <w:rFonts w:asciiTheme="minorEastAsia" w:hAnsiTheme="minorEastAsia"/>
          <w:sz w:val="24"/>
          <w:szCs w:val="24"/>
        </w:rPr>
      </w:pPr>
      <w:r>
        <w:rPr>
          <w:rFonts w:hint="eastAsia" w:asciiTheme="minorEastAsia" w:hAnsiTheme="minorEastAsia"/>
          <w:sz w:val="24"/>
          <w:szCs w:val="24"/>
        </w:rPr>
        <w:t>1.响应文件的语言及度量衡单位</w:t>
      </w:r>
    </w:p>
    <w:p w14:paraId="3EA61AB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1.1供应商递交的响应文件以及供应商与采购人就有关谈判的所有来往通知、函件和文件均应使用简体中文。</w:t>
      </w:r>
    </w:p>
    <w:p w14:paraId="38C127A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1.2除技术性能另有规定外，响应文件所使用的度量衡单位，均须采用国家法定计量单位。</w:t>
      </w:r>
    </w:p>
    <w:p w14:paraId="512EDA99">
      <w:pPr>
        <w:snapToGrid w:val="0"/>
        <w:spacing w:line="500" w:lineRule="exact"/>
        <w:rPr>
          <w:rFonts w:asciiTheme="minorEastAsia" w:hAnsiTheme="minorEastAsia"/>
          <w:sz w:val="24"/>
          <w:szCs w:val="24"/>
        </w:rPr>
      </w:pPr>
      <w:r>
        <w:rPr>
          <w:rFonts w:hint="eastAsia" w:asciiTheme="minorEastAsia" w:hAnsiTheme="minorEastAsia"/>
          <w:sz w:val="24"/>
          <w:szCs w:val="24"/>
        </w:rPr>
        <w:t>2.响应文件构成</w:t>
      </w:r>
    </w:p>
    <w:p w14:paraId="7378EE6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2.1供应商编写的响应文件应包括资格审查文件、价格标文件。供应商按“第五部分响应文件组成”要求编写响应文件。</w:t>
      </w:r>
    </w:p>
    <w:p w14:paraId="0C61E2B3">
      <w:pPr>
        <w:snapToGrid w:val="0"/>
        <w:spacing w:line="500" w:lineRule="exact"/>
        <w:rPr>
          <w:rFonts w:asciiTheme="minorEastAsia" w:hAnsiTheme="minorEastAsia"/>
          <w:sz w:val="24"/>
          <w:szCs w:val="24"/>
        </w:rPr>
      </w:pPr>
      <w:r>
        <w:rPr>
          <w:rFonts w:hint="eastAsia" w:asciiTheme="minorEastAsia" w:hAnsiTheme="minorEastAsia"/>
          <w:sz w:val="24"/>
          <w:szCs w:val="24"/>
        </w:rPr>
        <w:t>3.谈判响应有效期</w:t>
      </w:r>
    </w:p>
    <w:p w14:paraId="7A55484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3.1谈判响应有效期为本项目响应文件递交截止时间后60天。谈判响应有效期小于60天将被视为非实质性响应而予以拒绝。</w:t>
      </w:r>
    </w:p>
    <w:p w14:paraId="55EF5E13">
      <w:pPr>
        <w:snapToGrid w:val="0"/>
        <w:spacing w:line="500" w:lineRule="exact"/>
        <w:rPr>
          <w:rFonts w:asciiTheme="minorEastAsia" w:hAnsiTheme="minorEastAsia"/>
          <w:sz w:val="24"/>
          <w:szCs w:val="24"/>
        </w:rPr>
      </w:pPr>
      <w:r>
        <w:rPr>
          <w:rFonts w:hint="eastAsia" w:asciiTheme="minorEastAsia" w:hAnsiTheme="minorEastAsia"/>
          <w:sz w:val="24"/>
          <w:szCs w:val="24"/>
        </w:rPr>
        <w:t>4.谈判响应有效期的延长</w:t>
      </w:r>
    </w:p>
    <w:p w14:paraId="7E93ABD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在特殊情况下，采购人于原谈判响应有效期满之前，可向谈判供应商提出延长谈判响应有效期的要求。这种要求与答复均应采用书面形式。供应商可以拒绝采购人的这一要求而放弃谈判响应，同意延长谈判响应有效期的供应商既不能要求也不允许修改其响应文件。受谈判响应有效期约束的所有权利与义务均延长至新的有效期。</w:t>
      </w:r>
    </w:p>
    <w:p w14:paraId="1EA4C5B7">
      <w:pPr>
        <w:snapToGrid w:val="0"/>
        <w:spacing w:line="500" w:lineRule="exact"/>
        <w:rPr>
          <w:rFonts w:asciiTheme="minorEastAsia" w:hAnsiTheme="minorEastAsia"/>
          <w:b/>
          <w:sz w:val="24"/>
          <w:szCs w:val="24"/>
        </w:rPr>
      </w:pPr>
      <w:r>
        <w:rPr>
          <w:rFonts w:hint="eastAsia" w:asciiTheme="minorEastAsia" w:hAnsiTheme="minorEastAsia"/>
          <w:b/>
          <w:sz w:val="24"/>
          <w:szCs w:val="24"/>
        </w:rPr>
        <w:t>四、响应文件的递交</w:t>
      </w:r>
    </w:p>
    <w:p w14:paraId="4C1D95A1">
      <w:pPr>
        <w:snapToGrid w:val="0"/>
        <w:spacing w:line="500" w:lineRule="exact"/>
        <w:rPr>
          <w:rFonts w:asciiTheme="minorEastAsia" w:hAnsiTheme="minorEastAsia"/>
          <w:sz w:val="24"/>
          <w:szCs w:val="24"/>
        </w:rPr>
      </w:pPr>
      <w:r>
        <w:rPr>
          <w:rFonts w:hint="eastAsia" w:asciiTheme="minorEastAsia" w:hAnsiTheme="minorEastAsia"/>
          <w:sz w:val="24"/>
          <w:szCs w:val="24"/>
        </w:rPr>
        <w:t>1.响应文件的盖章要求</w:t>
      </w:r>
    </w:p>
    <w:p w14:paraId="407A8FA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1.1响应文件必须加盖骑缝章或每页盖章。</w:t>
      </w:r>
    </w:p>
    <w:p w14:paraId="2F2D1E2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1.2响应文件如有修改、行间内插字和增删，修改处应由供应商加盖供应商的印章。</w:t>
      </w:r>
    </w:p>
    <w:p w14:paraId="3C756387">
      <w:pPr>
        <w:snapToGrid w:val="0"/>
        <w:spacing w:line="500" w:lineRule="exact"/>
        <w:rPr>
          <w:rFonts w:asciiTheme="minorEastAsia" w:hAnsiTheme="minorEastAsia"/>
          <w:sz w:val="24"/>
          <w:szCs w:val="24"/>
        </w:rPr>
      </w:pPr>
      <w:r>
        <w:rPr>
          <w:rFonts w:hint="eastAsia" w:asciiTheme="minorEastAsia" w:hAnsiTheme="minorEastAsia"/>
          <w:sz w:val="24"/>
          <w:szCs w:val="24"/>
        </w:rPr>
        <w:t>2.响应文件的递交</w:t>
      </w:r>
    </w:p>
    <w:p w14:paraId="460203F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2.1响应文件必须提供1份正本2份副本。</w:t>
      </w:r>
    </w:p>
    <w:p w14:paraId="294805D8">
      <w:pPr>
        <w:widowControl/>
        <w:spacing w:line="460" w:lineRule="exact"/>
        <w:ind w:firstLine="480" w:firstLineChars="200"/>
        <w:jc w:val="left"/>
        <w:rPr>
          <w:rFonts w:asciiTheme="minorEastAsia" w:hAnsiTheme="minorEastAsia"/>
          <w:sz w:val="24"/>
          <w:szCs w:val="24"/>
        </w:rPr>
      </w:pPr>
      <w:r>
        <w:rPr>
          <w:rFonts w:hint="eastAsia" w:asciiTheme="minorEastAsia" w:hAnsiTheme="minorEastAsia"/>
          <w:sz w:val="24"/>
          <w:szCs w:val="24"/>
        </w:rPr>
        <w:t>2.2响应文件应于竞谈文件中规定的递交竞谈响应文件截止时间前将书面竞谈响应文件送至指定的投标地点。</w:t>
      </w:r>
    </w:p>
    <w:p w14:paraId="204AB17F">
      <w:pPr>
        <w:widowControl/>
        <w:spacing w:line="460" w:lineRule="exact"/>
        <w:ind w:firstLine="560"/>
        <w:jc w:val="left"/>
        <w:rPr>
          <w:rFonts w:asciiTheme="minorEastAsia" w:hAnsiTheme="minorEastAsia"/>
          <w:sz w:val="24"/>
          <w:szCs w:val="24"/>
        </w:rPr>
      </w:pPr>
      <w:r>
        <w:rPr>
          <w:rFonts w:hint="eastAsia" w:asciiTheme="minorEastAsia" w:hAnsiTheme="minorEastAsia"/>
          <w:sz w:val="24"/>
          <w:szCs w:val="24"/>
        </w:rPr>
        <w:t>2.3响应文件均需采用A4纸（图纸等除外）打印并装订成册，不允许使用活页夹、拉杆夹、文件夹、塑料方便式书脊（插入式或穿孔式）装订，并应在谈判响应文件封面的右上角清楚地注明“正本”或“副本”。正本和副本如有不一致之处，以正本为准。</w:t>
      </w:r>
    </w:p>
    <w:p w14:paraId="33C7FBC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2.4响应文件分二包密封，一包资格审查文件、一包价格标（每包内含相应文件正副本）。</w:t>
      </w:r>
    </w:p>
    <w:p w14:paraId="4D5ECBD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2.5供应商应在响应文件密封袋上标明：采购人名称、项目名称、供应商名称、响应文件名称（如：“资格审查文件”、“价格标”）。</w:t>
      </w:r>
    </w:p>
    <w:p w14:paraId="4878279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2.6所有响应文件密封袋的封口处均应加盖供应商印章。</w:t>
      </w:r>
    </w:p>
    <w:p w14:paraId="0326A88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2.7如果供应商未按上述要求密封及加写标记，将作无效响应文件处理。</w:t>
      </w:r>
    </w:p>
    <w:p w14:paraId="241368A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2.8如有要求提供原件核查的材料，供应商应将原件单独整理在一个封袋内，在响应文件递交截止时间前随响应文件一并递交至采购人。</w:t>
      </w:r>
    </w:p>
    <w:p w14:paraId="72568C75">
      <w:pPr>
        <w:snapToGrid w:val="0"/>
        <w:spacing w:line="500" w:lineRule="exact"/>
        <w:rPr>
          <w:rFonts w:asciiTheme="minorEastAsia" w:hAnsiTheme="minorEastAsia"/>
          <w:sz w:val="24"/>
          <w:szCs w:val="24"/>
        </w:rPr>
      </w:pPr>
      <w:r>
        <w:rPr>
          <w:rFonts w:hint="eastAsia" w:asciiTheme="minorEastAsia" w:hAnsiTheme="minorEastAsia"/>
          <w:sz w:val="24"/>
          <w:szCs w:val="24"/>
        </w:rPr>
        <w:t>3.响应文件截止日期</w:t>
      </w:r>
    </w:p>
    <w:p w14:paraId="014DB5D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3.1供应商应将响应文件在响应文件递交截止时间前递交至指定地点。供应商应充分考虑各种风险因素，如因供应商原因造成没有在递交截止时间前送达，由供应商自行承担全部责任。</w:t>
      </w:r>
    </w:p>
    <w:p w14:paraId="27ED59C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3.2采购人可以按照规定，通过修改响应文件酌情延长响应文件递交截止日期，在此情况下，供应商的所有权利和义务以及供应商受制的截止日期均应以延长后新的截止日期为准。</w:t>
      </w:r>
    </w:p>
    <w:p w14:paraId="3E24390A">
      <w:pPr>
        <w:snapToGrid w:val="0"/>
        <w:spacing w:line="500" w:lineRule="exact"/>
        <w:rPr>
          <w:rFonts w:asciiTheme="minorEastAsia" w:hAnsiTheme="minorEastAsia"/>
          <w:sz w:val="24"/>
          <w:szCs w:val="24"/>
        </w:rPr>
      </w:pPr>
      <w:r>
        <w:rPr>
          <w:rFonts w:hint="eastAsia" w:asciiTheme="minorEastAsia" w:hAnsiTheme="minorEastAsia"/>
          <w:sz w:val="24"/>
          <w:szCs w:val="24"/>
        </w:rPr>
        <w:t>4.响应文件的拒收</w:t>
      </w:r>
    </w:p>
    <w:p w14:paraId="001AE14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4.1采购人拒绝接收在其规定的响应文件递交截止时间后送达的任何响应文件。</w:t>
      </w:r>
    </w:p>
    <w:p w14:paraId="4DA31312">
      <w:pPr>
        <w:snapToGrid w:val="0"/>
        <w:spacing w:line="500" w:lineRule="exact"/>
        <w:rPr>
          <w:rFonts w:asciiTheme="minorEastAsia" w:hAnsiTheme="minorEastAsia"/>
          <w:sz w:val="24"/>
          <w:szCs w:val="24"/>
        </w:rPr>
      </w:pPr>
      <w:r>
        <w:rPr>
          <w:rFonts w:hint="eastAsia" w:asciiTheme="minorEastAsia" w:hAnsiTheme="minorEastAsia"/>
          <w:sz w:val="24"/>
          <w:szCs w:val="24"/>
        </w:rPr>
        <w:t>5.响应文件的撤回和修改</w:t>
      </w:r>
    </w:p>
    <w:p w14:paraId="5203340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5.1响应文件的撤回</w:t>
      </w:r>
    </w:p>
    <w:p w14:paraId="6767EF0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5.1.1供应商可在响应文件递交截止时间前，撤回其响应文件。</w:t>
      </w:r>
    </w:p>
    <w:p w14:paraId="567EBE7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5.1.2供应商撤回响应文件，则认为其不再参与本项目谈判活动。</w:t>
      </w:r>
    </w:p>
    <w:p w14:paraId="448BA84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5.2响应文件的修改</w:t>
      </w:r>
    </w:p>
    <w:p w14:paraId="374D8A3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5.2.1供应商可在响应文件递交截止时间前，对其响应文件进行补充、修改，供应商必须将修改响应文件的书面材料并密封后提交给采购人或采购代理机构，同时在封套上标明“修改响应文件”和“开标时启封”字样。采购人或采购代理机构可以予以接收，但不退还响应文件。补充、修改的内容应当按照谈判文件要求签署、盖章、密封后，作为响应文件的组成部分。</w:t>
      </w:r>
    </w:p>
    <w:p w14:paraId="1D4EF48E">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5.3在响应文件递交截止时间之后，供应商不得对其响应文件作任何修改。</w:t>
      </w:r>
    </w:p>
    <w:p w14:paraId="48A3A9CD">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5.4在响应文件截止时间至响应文件中规定的谈判响应有效期满之间的这段时间内，供应商不得撤回其响应文件。</w:t>
      </w:r>
    </w:p>
    <w:p w14:paraId="4BF7B7BF">
      <w:pPr>
        <w:snapToGrid w:val="0"/>
        <w:spacing w:line="490" w:lineRule="exact"/>
        <w:rPr>
          <w:rFonts w:asciiTheme="minorEastAsia" w:hAnsiTheme="minorEastAsia"/>
          <w:b/>
          <w:sz w:val="24"/>
          <w:szCs w:val="24"/>
        </w:rPr>
      </w:pPr>
      <w:r>
        <w:rPr>
          <w:rFonts w:hint="eastAsia" w:asciiTheme="minorEastAsia" w:hAnsiTheme="minorEastAsia"/>
          <w:b/>
          <w:sz w:val="24"/>
          <w:szCs w:val="24"/>
        </w:rPr>
        <w:t>五、谈判与评审</w:t>
      </w:r>
    </w:p>
    <w:p w14:paraId="01C89E58">
      <w:pPr>
        <w:snapToGrid w:val="0"/>
        <w:spacing w:line="490" w:lineRule="exact"/>
        <w:rPr>
          <w:rFonts w:asciiTheme="minorEastAsia" w:hAnsiTheme="minorEastAsia"/>
          <w:sz w:val="24"/>
          <w:szCs w:val="24"/>
        </w:rPr>
      </w:pPr>
      <w:r>
        <w:rPr>
          <w:rFonts w:hint="eastAsia" w:asciiTheme="minorEastAsia" w:hAnsiTheme="minorEastAsia"/>
          <w:sz w:val="24"/>
          <w:szCs w:val="24"/>
        </w:rPr>
        <w:t>1.谈判仪式</w:t>
      </w:r>
    </w:p>
    <w:p w14:paraId="5E9CA23B">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1.1采购人将在谈判公告中规定的时间和地点组织谈判开始仪式。</w:t>
      </w:r>
    </w:p>
    <w:p w14:paraId="24066533">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1.2采购人在谈判结束后公布各供应商的最后报价。</w:t>
      </w:r>
    </w:p>
    <w:p w14:paraId="4C6D4989">
      <w:pPr>
        <w:snapToGrid w:val="0"/>
        <w:spacing w:line="490" w:lineRule="exact"/>
        <w:rPr>
          <w:rFonts w:asciiTheme="minorEastAsia" w:hAnsiTheme="minorEastAsia"/>
          <w:sz w:val="24"/>
          <w:szCs w:val="24"/>
        </w:rPr>
      </w:pPr>
      <w:r>
        <w:rPr>
          <w:rFonts w:hint="eastAsia" w:asciiTheme="minorEastAsia" w:hAnsiTheme="minorEastAsia"/>
          <w:sz w:val="24"/>
          <w:szCs w:val="24"/>
        </w:rPr>
        <w:t>2.竞争性谈判小组</w:t>
      </w:r>
    </w:p>
    <w:p w14:paraId="3E740AC0">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2.1谈判开始仪式结束后，采购人将立即组织竞争性谈判小组进行评审。</w:t>
      </w:r>
    </w:p>
    <w:p w14:paraId="0D10FCDE">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2.2</w:t>
      </w:r>
      <w:r>
        <w:rPr>
          <w:rFonts w:asciiTheme="minorEastAsia" w:hAnsiTheme="minorEastAsia"/>
          <w:sz w:val="24"/>
          <w:szCs w:val="24"/>
        </w:rPr>
        <w:t>竞争性谈判小组由3人以上单数组成</w:t>
      </w:r>
      <w:r>
        <w:rPr>
          <w:rFonts w:hint="eastAsia" w:asciiTheme="minorEastAsia" w:hAnsiTheme="minorEastAsia"/>
          <w:sz w:val="24"/>
          <w:szCs w:val="24"/>
        </w:rPr>
        <w:t>。</w:t>
      </w:r>
    </w:p>
    <w:p w14:paraId="0C0272E7">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2.3采购代理机构不得参加本机构代理的采购项目的评审。</w:t>
      </w:r>
    </w:p>
    <w:p w14:paraId="47858AB2">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2.4谈判小组独立工作，负责评审所有响应文件并确定成交候选人。</w:t>
      </w:r>
    </w:p>
    <w:p w14:paraId="62AF1783">
      <w:pPr>
        <w:snapToGrid w:val="0"/>
        <w:spacing w:line="490" w:lineRule="exact"/>
        <w:rPr>
          <w:rFonts w:asciiTheme="minorEastAsia" w:hAnsiTheme="minorEastAsia"/>
          <w:sz w:val="24"/>
          <w:szCs w:val="24"/>
        </w:rPr>
      </w:pPr>
      <w:r>
        <w:rPr>
          <w:rFonts w:hint="eastAsia" w:asciiTheme="minorEastAsia" w:hAnsiTheme="minorEastAsia"/>
          <w:sz w:val="24"/>
          <w:szCs w:val="24"/>
        </w:rPr>
        <w:t>3.谈判评审过程的保密与公正</w:t>
      </w:r>
    </w:p>
    <w:p w14:paraId="52933FC6">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3.1谈判小组、采购人、相关监督人员等与评审工作有关的人员，对评审情况以及在评审过程中获悉的国家秘密、商业秘密负有保密责任。</w:t>
      </w:r>
    </w:p>
    <w:p w14:paraId="30B33EF3">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3.2在谈判评审过程中，谈判供应商不得以任何行为影响谈判评审过程，否则其响应文件将被作为无效响应文件。</w:t>
      </w:r>
    </w:p>
    <w:p w14:paraId="5198B6EF">
      <w:pPr>
        <w:snapToGrid w:val="0"/>
        <w:spacing w:line="490" w:lineRule="exact"/>
        <w:ind w:firstLine="480" w:firstLineChars="200"/>
        <w:rPr>
          <w:rFonts w:asciiTheme="minorEastAsia" w:hAnsiTheme="minorEastAsia"/>
          <w:sz w:val="24"/>
          <w:szCs w:val="24"/>
        </w:rPr>
      </w:pPr>
      <w:r>
        <w:rPr>
          <w:rFonts w:hint="eastAsia" w:asciiTheme="minorEastAsia" w:hAnsiTheme="minorEastAsia"/>
          <w:sz w:val="24"/>
          <w:szCs w:val="24"/>
        </w:rPr>
        <w:t>3.3谈判小组成员应当按照客观、公正、审慎的原则，根据谈判文件规定的评审程序、评审方法和评审标准进行独立评审。未实质性响应谈判文件的响应文件按无效响应处理，谈判小组应当告知提交响应文件的供应商。</w:t>
      </w:r>
    </w:p>
    <w:p w14:paraId="7597932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3.4评审开始后，直至向成交供应商授予合同时止，凡是与审查、澄清、评价和比较响应的有关资料以及授标建议等，采购人、谈判小组均不得向供应商或与评审无关的其他人员透露。</w:t>
      </w:r>
    </w:p>
    <w:p w14:paraId="62FA1E9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3.5采购人和评审小组不向未成交的供应商解释未成交原因，也不公布评审过程中的相关细节。</w:t>
      </w:r>
    </w:p>
    <w:p w14:paraId="6D3CB750">
      <w:pPr>
        <w:snapToGrid w:val="0"/>
        <w:spacing w:line="500" w:lineRule="exact"/>
        <w:rPr>
          <w:rFonts w:asciiTheme="minorEastAsia" w:hAnsiTheme="minorEastAsia"/>
          <w:sz w:val="24"/>
          <w:szCs w:val="24"/>
        </w:rPr>
      </w:pPr>
      <w:r>
        <w:rPr>
          <w:rFonts w:hint="eastAsia" w:asciiTheme="minorEastAsia" w:hAnsiTheme="minorEastAsia"/>
          <w:sz w:val="24"/>
          <w:szCs w:val="24"/>
        </w:rPr>
        <w:t>4.评审过程的澄清</w:t>
      </w:r>
    </w:p>
    <w:p w14:paraId="479EA32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4.1评审期间，为有助于对响应文件的审查、评价和比较，谈判小组有权以书面形式要求响应人对其响应文件进行澄清，但并非对每个供应商都作澄清要求。</w:t>
      </w:r>
    </w:p>
    <w:p w14:paraId="1B3B5D8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4.2接到谈判小组澄清要求的供应商应按谈判小组规定的时间和格式做出书面澄清，澄清的内容作为响应文件的补充部分，但实质性的内容不得做任何更改。</w:t>
      </w:r>
    </w:p>
    <w:p w14:paraId="1449817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4.3接到谈判小组澄清要求的供应商如未按规定做出澄清，其风险由供应商自行承担。</w:t>
      </w:r>
    </w:p>
    <w:p w14:paraId="6E08CD5C">
      <w:pPr>
        <w:snapToGrid w:val="0"/>
        <w:spacing w:line="500" w:lineRule="exact"/>
        <w:rPr>
          <w:rFonts w:asciiTheme="minorEastAsia" w:hAnsiTheme="minorEastAsia"/>
          <w:sz w:val="24"/>
          <w:szCs w:val="24"/>
        </w:rPr>
      </w:pPr>
      <w:r>
        <w:rPr>
          <w:rFonts w:hint="eastAsia" w:asciiTheme="minorEastAsia" w:hAnsiTheme="minorEastAsia"/>
          <w:sz w:val="24"/>
          <w:szCs w:val="24"/>
        </w:rPr>
        <w:t>5.对响应文件的初审</w:t>
      </w:r>
    </w:p>
    <w:p w14:paraId="4B45E46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5.1响应文件初审分为资格性审查和符合性审查。</w:t>
      </w:r>
    </w:p>
    <w:p w14:paraId="51800D1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5.1.1资格性审查：依据法律法规和谈判文件的规定，谈判小组对响应文件中的资格审查证明材料进行审查，以确定供应商是否具备参加谈判的资格。</w:t>
      </w:r>
    </w:p>
    <w:p w14:paraId="559CD44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注：在“信用中国”网站有不良信用记录的供应商将被取消参加谈判的资格。接受联合体的项目，两个以上的自然人、法人或者其他组织组成一个联合体，以一个供应商的身份共同参加政府采购活动的,联合体成员中任何一方存在不良信用记录的，视同联合体存在不良应用记录。</w:t>
      </w:r>
    </w:p>
    <w:p w14:paraId="1AA5094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5.1.2符合性审查：依据谈判文件的规定，由谈判小组从响应文件的有效性、完整性和对谈判文件的响应程度进行审查，以确定是否对谈判文件的实质性要求作出响应。</w:t>
      </w:r>
    </w:p>
    <w:p w14:paraId="366C3FC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5.1.3未通过资格审查或符合性审查的供应商，采购代理机构将现场告知未通过资格审查或符合性审查的原因，评审结束后，采购代理机构将不再告知未通过资格审查或符合性审查的原因。</w:t>
      </w:r>
    </w:p>
    <w:p w14:paraId="3ED60B0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5.2在正式谈判前，谈判小组将首先审查每份响应文件是否实质性响应了谈判文件的要求。实质性响应的响应文件应该是与谈判文件要求的全部条款、条件和规格相符，没有重大负偏离或保留。</w:t>
      </w:r>
    </w:p>
    <w:p w14:paraId="6534E3E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所谓重大负偏离或保留是指与谈判文件规定的实质性要求存在负偏离，或者在实质上与谈判文件不一致，而且限制了合同中买方和见证方的权利或供应商的义务，纠正这些偏离或保留将会对其他实质性响应要求的供应商的竞争地位产生不公正的影响。重大偏离由谈判小组按照少数服从多数的原则认定。谈判小组决定响应文件的响应性只根据响应文件本身的内容，而不寻求外部的证据。</w:t>
      </w:r>
    </w:p>
    <w:p w14:paraId="35EAEB4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5.3如果响应文件实质上没有响应谈判文件的要求，谈判小组将予以拒绝，供应商不得通过修改或撤销不合要求的偏离或保留而使其响应文件成为实质性响应文件。</w:t>
      </w:r>
    </w:p>
    <w:p w14:paraId="1DF979C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5.4谈判小组将对确定为实质性响应的文件进行进一步审核，看其是否有计算上或累加上的算术错误，修正错误的原则如下：</w:t>
      </w:r>
    </w:p>
    <w:p w14:paraId="1AD6240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（1）响应文件中谈判报价总表内容与响应文件中相应内容不一致的，以谈判报价总表为准。</w:t>
      </w:r>
    </w:p>
    <w:p w14:paraId="15AAD6E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（2）大写金额和小写金额不一致的，以大写金额为准。</w:t>
      </w:r>
    </w:p>
    <w:p w14:paraId="391C389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（3）单价金额小数点或者百分比有明显错位的，以谈判报价总表的总价为准，并修改单价。</w:t>
      </w:r>
    </w:p>
    <w:p w14:paraId="5CFC3C8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（4）总价金额与按单价汇总金额不一致的，以单价金额计算结果为准。</w:t>
      </w:r>
    </w:p>
    <w:p w14:paraId="2EBE4CC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同时出现两种以上错误的，按照前款规定的顺序修正。</w:t>
      </w:r>
    </w:p>
    <w:p w14:paraId="4D8C23A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5.5谈判小组将按上述修正错误的方法调整响应文件中的报价，并现场告知供应商，调整后的价格应对供应商具有约束力。如果供应商不接受修正后的价格，则其谈判活动将被拒绝。</w:t>
      </w:r>
    </w:p>
    <w:p w14:paraId="5C8F348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5.6谈判小组将允许修正响应文件中不构成重大偏离的、微小的、非正规的、不一致的或不规则的地方，但这些修改不能影响任何供应商相应的名次排列。</w:t>
      </w:r>
    </w:p>
    <w:p w14:paraId="7454FBB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5.7同一项目（项目未分包）或同一分包（项目有不同分包），如出现同一品牌同一型号的产品有多个供应商参加谈判时，谈判中在其他条件合格的前提下，选取报价最低的供应商参加谈判最后报价，其他供应商作为无效响应处理。</w:t>
      </w:r>
    </w:p>
    <w:p w14:paraId="62C9E52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5.8提供相同品牌产品的不同供应商参加同一合同项下谈判的，以其中通过资格审查、符合性审查且报价最低的参加谈判；报价相同的，由谈判小组按照随机抽取的方式确定一个参加谈判的供应商，其他供应商作为无效响应处理。</w:t>
      </w:r>
    </w:p>
    <w:p w14:paraId="53E7D36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非单一产品采购项目，谈判文件中将载明其中的核心产品。多家供应商提供的核心产品品牌相同的，按前款规定处理。</w:t>
      </w:r>
    </w:p>
    <w:p w14:paraId="1BDAAC13">
      <w:pPr>
        <w:snapToGrid w:val="0"/>
        <w:spacing w:line="500" w:lineRule="exact"/>
        <w:rPr>
          <w:rFonts w:asciiTheme="minorEastAsia" w:hAnsiTheme="minorEastAsia"/>
          <w:sz w:val="24"/>
          <w:szCs w:val="24"/>
        </w:rPr>
      </w:pPr>
      <w:r>
        <w:rPr>
          <w:rFonts w:hint="eastAsia" w:asciiTheme="minorEastAsia" w:hAnsiTheme="minorEastAsia"/>
          <w:sz w:val="24"/>
          <w:szCs w:val="24"/>
        </w:rPr>
        <w:t>6.被认定为未实质性响应谈判文件的响应文件的情形</w:t>
      </w:r>
    </w:p>
    <w:p w14:paraId="18E5B60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6.1出现下列情形之一的，作无效响应处理。</w:t>
      </w:r>
    </w:p>
    <w:p w14:paraId="6D71799F">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6.1.1响应文件未按照谈判文件的要求进行制作或密封的。</w:t>
      </w:r>
    </w:p>
    <w:p w14:paraId="0E9166A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6.1.2响应文件未按规定加盖供应商印章，投标报价部分未盖章的。</w:t>
      </w:r>
    </w:p>
    <w:p w14:paraId="0370DCD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6.1.3响应文件的关键内容字迹模糊，无法辨认的。</w:t>
      </w:r>
    </w:p>
    <w:p w14:paraId="181B4EA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6.1.4供应商不具备谈判文件中规定的资格要求的。</w:t>
      </w:r>
    </w:p>
    <w:p w14:paraId="196EEF6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6.1.5响应文件与谈判文件有重大偏离的或未能实质性响应谈判文件要求的。</w:t>
      </w:r>
    </w:p>
    <w:p w14:paraId="35A4AB3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6.1.6供应商属于投标禁止情形的。</w:t>
      </w:r>
    </w:p>
    <w:p w14:paraId="7782CB7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6.1.7响应文件除价格标外出现报价的。</w:t>
      </w:r>
    </w:p>
    <w:p w14:paraId="5F2B4B9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6.1.8响应报价超过最高限价的。</w:t>
      </w:r>
    </w:p>
    <w:p w14:paraId="1E1CDDE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6.1.9同一供应商提交两个（含两个）以上不同的响应报价的。</w:t>
      </w:r>
    </w:p>
    <w:p w14:paraId="37BB340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6.1.10未通过符合性检查的。</w:t>
      </w:r>
    </w:p>
    <w:p w14:paraId="18D05F8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6.1.11不符合法律、法规和谈判文件中规定的其他实质性要求的。</w:t>
      </w:r>
    </w:p>
    <w:p w14:paraId="55BF8CC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6.1.12供应商被 “信用中国”网站列入失信被执行人或重大税收违法案件当事人名单或政府采购严重失信行为记录名单。或查询“信用中国”网站后发现供应商存在其他不符合《中华人民共和国政府采购法》第二十二条规定条件的信用记录。</w:t>
      </w:r>
    </w:p>
    <w:p w14:paraId="483D195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6.1.13响应文件含有采购人不能接受的附加条件的。</w:t>
      </w:r>
    </w:p>
    <w:p w14:paraId="1B49EEF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6.1.14谈判小组认为供应商的报价明显低于其他通过符合性审查供应商的报价，有可能影响产品质量或者不能诚信履约的，将现场要求其在合理的时间内提供说明，必要时提交相关证明材料；供应商不能证明其报价合理性的，谈判小组应当将其作为无效响应处理。</w:t>
      </w:r>
    </w:p>
    <w:p w14:paraId="3742C8F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6.1.15其他法律、法规及本谈判文件规定的属无效响应的情形。</w:t>
      </w:r>
    </w:p>
    <w:p w14:paraId="430902C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6.2出现下列情形之一的，谈判失败</w:t>
      </w:r>
    </w:p>
    <w:p w14:paraId="25D16CD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6.2.1出现影响采购公正的违法违规行为的。</w:t>
      </w:r>
    </w:p>
    <w:p w14:paraId="54C2716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6.2.2因重大变故，采购任务取消的。</w:t>
      </w:r>
    </w:p>
    <w:p w14:paraId="6DE8B23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6.2.3谈判小组认定谈判文件存在歧义、重大缺陷导致评审工作无法进行。</w:t>
      </w:r>
    </w:p>
    <w:p w14:paraId="6E245BD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6.3响应文件递交截止时间结束后参加谈判的供应商不足三家的处理：</w:t>
      </w:r>
    </w:p>
    <w:p w14:paraId="3104B73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6.3.1如出现响应文件提交截止时间结束后参加谈判的供应商或者在评审期间对谈判文件做出实质响应的供应商不足三家情况，按政府采购相关规定执行。</w:t>
      </w:r>
    </w:p>
    <w:p w14:paraId="3FC76AB8">
      <w:pPr>
        <w:snapToGrid w:val="0"/>
        <w:spacing w:line="500" w:lineRule="exact"/>
        <w:rPr>
          <w:rFonts w:asciiTheme="minorEastAsia" w:hAnsiTheme="minorEastAsia"/>
          <w:b/>
          <w:sz w:val="24"/>
          <w:szCs w:val="24"/>
        </w:rPr>
      </w:pPr>
      <w:r>
        <w:rPr>
          <w:rFonts w:hint="eastAsia" w:asciiTheme="minorEastAsia" w:hAnsiTheme="minorEastAsia"/>
          <w:b/>
          <w:sz w:val="24"/>
          <w:szCs w:val="24"/>
        </w:rPr>
        <w:t>六、成交</w:t>
      </w:r>
    </w:p>
    <w:p w14:paraId="3B465A0B">
      <w:pPr>
        <w:snapToGrid w:val="0"/>
        <w:spacing w:line="500" w:lineRule="exact"/>
        <w:rPr>
          <w:rFonts w:asciiTheme="minorEastAsia" w:hAnsiTheme="minorEastAsia"/>
          <w:sz w:val="24"/>
          <w:szCs w:val="24"/>
        </w:rPr>
      </w:pPr>
      <w:r>
        <w:rPr>
          <w:rFonts w:hint="eastAsia" w:asciiTheme="minorEastAsia" w:hAnsiTheme="minorEastAsia"/>
          <w:sz w:val="24"/>
          <w:szCs w:val="24"/>
        </w:rPr>
        <w:t>1.确定成交单位</w:t>
      </w:r>
    </w:p>
    <w:p w14:paraId="42AC860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1.1成交候选供应商的选取原则和数量见谈判文件第四部分规定。</w:t>
      </w:r>
    </w:p>
    <w:p w14:paraId="77489AA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1.2采购人授权谈判小组在成交候选供应商中直接确定成交供应商。</w:t>
      </w:r>
    </w:p>
    <w:p w14:paraId="0133A1F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1.3采购人将在“</w:t>
      </w:r>
      <w:r>
        <w:rPr>
          <w:rFonts w:hint="eastAsia" w:cs="宋体" w:asciiTheme="minorEastAsia" w:hAnsiTheme="minorEastAsia"/>
          <w:kern w:val="0"/>
          <w:sz w:val="24"/>
          <w:szCs w:val="24"/>
        </w:rPr>
        <w:t>启东市自来水厂有限公司网站</w:t>
      </w:r>
      <w:r>
        <w:rPr>
          <w:rFonts w:hint="eastAsia" w:asciiTheme="minorEastAsia" w:hAnsiTheme="minorEastAsia"/>
          <w:sz w:val="24"/>
          <w:szCs w:val="24"/>
        </w:rPr>
        <w:t>”发布成交结果公告，公告期限为1个工作日。</w:t>
      </w:r>
    </w:p>
    <w:p w14:paraId="328580D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1.4若有充分证据证明，成交供应商出现下列情况之一的，一经查实，将被取消成交资格：</w:t>
      </w:r>
    </w:p>
    <w:p w14:paraId="4232492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1.4.1提供虚假材料谋取成交的。</w:t>
      </w:r>
    </w:p>
    <w:p w14:paraId="4E6814A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1.4.2向采购人行贿或者评审专家提供其他不正当利益的。</w:t>
      </w:r>
    </w:p>
    <w:p w14:paraId="53CFFC0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1.4.3恶意竞争，最终总报价明显低于其自身合理成本且又无法提供证明的。</w:t>
      </w:r>
    </w:p>
    <w:p w14:paraId="49DADDF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1.4.4属于本文件规定的无效条件，但在评审过程中又未被谈判小组发现的。</w:t>
      </w:r>
    </w:p>
    <w:p w14:paraId="0CF48BE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1.4.5与采购人或者其他供应商恶意串通的。</w:t>
      </w:r>
    </w:p>
    <w:p w14:paraId="1A85E87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1.4.6采取不正当手段诋毁、排挤其他供应商的。</w:t>
      </w:r>
    </w:p>
    <w:p w14:paraId="6D7498A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1.5有下列情形之一的，视为供应商串通参与谈判，响应无效：</w:t>
      </w:r>
    </w:p>
    <w:p w14:paraId="76A5A48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1.5.1不同供应商的响应文件由同一单位或者个人编制。</w:t>
      </w:r>
    </w:p>
    <w:p w14:paraId="5BACF0A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1.5.2不同供应商委托同一单位或者个人办理谈判事宜。</w:t>
      </w:r>
    </w:p>
    <w:p w14:paraId="15A3BEA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1.5.3不同供应商的响应文件载明的项目管理成员或者联系人员为同一人。</w:t>
      </w:r>
    </w:p>
    <w:p w14:paraId="234276C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1.5.4不同供应商的响应文件异常一致或者响应报价呈规律性差异。</w:t>
      </w:r>
    </w:p>
    <w:p w14:paraId="46EA443C">
      <w:pPr>
        <w:snapToGrid w:val="0"/>
        <w:spacing w:line="500" w:lineRule="exact"/>
        <w:rPr>
          <w:rFonts w:asciiTheme="minorEastAsia" w:hAnsiTheme="minorEastAsia"/>
          <w:sz w:val="24"/>
          <w:szCs w:val="24"/>
        </w:rPr>
      </w:pPr>
      <w:r>
        <w:rPr>
          <w:rFonts w:hint="eastAsia" w:asciiTheme="minorEastAsia" w:hAnsiTheme="minorEastAsia"/>
          <w:sz w:val="24"/>
          <w:szCs w:val="24"/>
        </w:rPr>
        <w:t>2.质疑处理</w:t>
      </w:r>
    </w:p>
    <w:p w14:paraId="2DB0E8D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2.1提出质疑的供应商应当是参与所质疑项目采购活动的供应商。潜在供应商依法获取其可质疑的谈判文件的，可以对谈判文件提出质疑。</w:t>
      </w:r>
    </w:p>
    <w:p w14:paraId="0773F02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供应商认为谈判文件、采购过程和采购结果使自己的权益受到损害的，可以在知道或者应知其权益受到损害之日起七个工作日内，以书面形式向采购人或采购代理机构提出质疑。上述应知其权益受到损害之日，是指：</w:t>
      </w:r>
    </w:p>
    <w:p w14:paraId="37496CF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2.2.1对可以质疑的谈判文件提出质疑的，为收到谈判文件之日或者谈判文件公告期限届满之日。</w:t>
      </w:r>
    </w:p>
    <w:p w14:paraId="4C569BF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2.2.2对采购过程提出质疑的，为各采购程序环节结束之日。</w:t>
      </w:r>
    </w:p>
    <w:p w14:paraId="3302B54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2.2.3对成交结果提出质疑的，为成交结果公告期限届满之日。</w:t>
      </w:r>
    </w:p>
    <w:p w14:paraId="3B1AB89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供应商应当在法定质疑期内一次性提出针对同一采购程序环节的质疑。</w:t>
      </w:r>
    </w:p>
    <w:p w14:paraId="569DB5F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2.3质疑函必须按照本谈判文件中《质疑函范本》要求的格式和内容进行填写。供应商如组成联合体参加谈判，则《质疑函范本》中要求签字、盖章、加盖公章之处，联合体各方均须按要求签字、盖章、加盖公章。</w:t>
      </w:r>
    </w:p>
    <w:p w14:paraId="0AE7C36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2.4对采购方式、谈判文件、谈判结果等的质疑请向采购人或采购代理机构提出。供应商于法定期限内提起质疑，向采购人或采购代理机构以书面形式提交质疑函。</w:t>
      </w:r>
    </w:p>
    <w:p w14:paraId="5490FC7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2.5以下情形的质疑不予受理</w:t>
      </w:r>
    </w:p>
    <w:p w14:paraId="4060614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2.5.1内容不符合《政府采购质疑和投诉办法》第十二条规定的质疑。</w:t>
      </w:r>
    </w:p>
    <w:p w14:paraId="5EEEE8E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2.5.2超出政府采购法定期限的质疑。</w:t>
      </w:r>
    </w:p>
    <w:p w14:paraId="0C809AA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2.5.3未参加谈判活动的供应商或在谈判活动中自身权益未受到损害的供应商所提出的质疑。</w:t>
      </w:r>
    </w:p>
    <w:p w14:paraId="0C53AF4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2.5.4供应商组成联合体参加谈判，联合体中任何一方或多方未按要求签字、盖章、加盖公章的质疑。</w:t>
      </w:r>
    </w:p>
    <w:p w14:paraId="74B0E42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2.6供应商提出书面质疑必须有理、有据，不得捏造事实、提供虚假材料进行恶意质疑。否则，一经查实，采购人有权依据政府采购的有关规定，报请政府采购监管部门对该供应商进行相应的行政处罚和记录该供应商的失信信息。</w:t>
      </w:r>
    </w:p>
    <w:p w14:paraId="4946A197">
      <w:pPr>
        <w:snapToGrid w:val="0"/>
        <w:spacing w:line="500" w:lineRule="exact"/>
        <w:rPr>
          <w:rFonts w:asciiTheme="minorEastAsia" w:hAnsiTheme="minorEastAsia"/>
          <w:sz w:val="24"/>
          <w:szCs w:val="24"/>
        </w:rPr>
      </w:pPr>
      <w:r>
        <w:rPr>
          <w:rFonts w:hint="eastAsia" w:asciiTheme="minorEastAsia" w:hAnsiTheme="minorEastAsia"/>
          <w:sz w:val="24"/>
          <w:szCs w:val="24"/>
        </w:rPr>
        <w:t>3.成交通知书</w:t>
      </w:r>
    </w:p>
    <w:p w14:paraId="72F1536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3.1成交结果确定后，采购人将向成交供应商发出成交通知书。</w:t>
      </w:r>
    </w:p>
    <w:p w14:paraId="2B9A6BA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3.2成交通知书将是合同的一个组成部分。对采购人和成交供应商均具有法律效力。成交通知书发出后，采购人改变成交结果的，或者成交供应商放弃谈判项目的，应当依法承担法律责任。</w:t>
      </w:r>
    </w:p>
    <w:p w14:paraId="3D549DE5">
      <w:pPr>
        <w:snapToGrid w:val="0"/>
        <w:spacing w:line="500" w:lineRule="exact"/>
        <w:rPr>
          <w:rFonts w:asciiTheme="minorEastAsia" w:hAnsiTheme="minorEastAsia"/>
          <w:b/>
          <w:sz w:val="24"/>
          <w:szCs w:val="24"/>
        </w:rPr>
      </w:pPr>
      <w:r>
        <w:rPr>
          <w:rFonts w:hint="eastAsia" w:asciiTheme="minorEastAsia" w:hAnsiTheme="minorEastAsia"/>
          <w:b/>
          <w:sz w:val="24"/>
          <w:szCs w:val="24"/>
        </w:rPr>
        <w:t>七、授予合同</w:t>
      </w:r>
    </w:p>
    <w:p w14:paraId="1D6F8EC5">
      <w:pPr>
        <w:snapToGrid w:val="0"/>
        <w:spacing w:line="500" w:lineRule="exact"/>
        <w:rPr>
          <w:rFonts w:asciiTheme="minorEastAsia" w:hAnsiTheme="minorEastAsia"/>
          <w:sz w:val="24"/>
          <w:szCs w:val="24"/>
        </w:rPr>
      </w:pPr>
      <w:r>
        <w:rPr>
          <w:rFonts w:hint="eastAsia" w:asciiTheme="minorEastAsia" w:hAnsiTheme="minorEastAsia"/>
          <w:sz w:val="24"/>
          <w:szCs w:val="24"/>
        </w:rPr>
        <w:t>1.签订合同</w:t>
      </w:r>
    </w:p>
    <w:p w14:paraId="45D76D1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1.1成交供应商应当在成交通知书发出之日起十五日内，按照谈判文件确定的事项与采购人签订采购合同。</w:t>
      </w:r>
    </w:p>
    <w:p w14:paraId="65DEB26A">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1.2谈判文件、成交供应商的响应文件及谈判过程中有关澄清、承诺文件均应作为合同附件。</w:t>
      </w:r>
    </w:p>
    <w:p w14:paraId="65143CF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1.3签订合同后，成交供应商不得将货物（含其他相关服务）或服务进行转包。未经采购人同意，成交供应商也不得采用分包的形式履行合同，否则采购人有权终止合同，成交供应商的履约保证金将不予退还。采购合同分包履行的，成交供应商就采购项目和分包项目向采购人负责，分包供应商就分包项目承担责任。转包或分包造成采购人损失的，成交供应商应承担相应赔偿责任。</w:t>
      </w:r>
    </w:p>
    <w:p w14:paraId="346D6E77">
      <w:pPr>
        <w:snapToGrid w:val="0"/>
        <w:spacing w:line="500" w:lineRule="exact"/>
        <w:rPr>
          <w:rFonts w:asciiTheme="minorEastAsia" w:hAnsiTheme="minorEastAsia"/>
          <w:sz w:val="24"/>
          <w:szCs w:val="24"/>
        </w:rPr>
      </w:pPr>
      <w:r>
        <w:rPr>
          <w:rFonts w:hint="eastAsia" w:asciiTheme="minorEastAsia" w:hAnsiTheme="minorEastAsia"/>
          <w:sz w:val="24"/>
          <w:szCs w:val="24"/>
        </w:rPr>
        <w:t>2.货物和服务的追加、减少和添购</w:t>
      </w:r>
    </w:p>
    <w:p w14:paraId="5254A6FA">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2.1采购合同履行中，采购人需追加与合同标的相同的货物和服务的，在不改变合同其他条款的前提下，可以与成交供应商协商签订补充合同，但所有补充合同的采购金额不超过原合同金额10%。</w:t>
      </w:r>
    </w:p>
    <w:p w14:paraId="44C165A5">
      <w:pPr>
        <w:snapToGrid w:val="0"/>
        <w:spacing w:line="480" w:lineRule="exact"/>
        <w:ind w:firstLine="480" w:firstLineChars="200"/>
        <w:rPr>
          <w:rFonts w:asciiTheme="minorEastAsia" w:hAnsiTheme="minorEastAsia"/>
          <w:sz w:val="24"/>
          <w:szCs w:val="24"/>
        </w:rPr>
      </w:pPr>
      <w:r>
        <w:rPr>
          <w:rFonts w:hint="eastAsia" w:asciiTheme="minorEastAsia" w:hAnsiTheme="minorEastAsia"/>
          <w:sz w:val="24"/>
          <w:szCs w:val="24"/>
        </w:rPr>
        <w:t>2.2采购结束后，采购人若由于各种客观原因，必须对采购项目所牵涉的货物和服务进行适当的减少时，在双方协商一致的前提下，可以按照采购时的价格水平做相应的调减，并据此签订补充合同。</w:t>
      </w:r>
    </w:p>
    <w:p w14:paraId="057476EF">
      <w:pPr>
        <w:pStyle w:val="2"/>
      </w:pPr>
    </w:p>
    <w:p w14:paraId="093646BA"/>
    <w:p w14:paraId="1A22182B">
      <w:pPr>
        <w:pStyle w:val="2"/>
      </w:pPr>
    </w:p>
    <w:p w14:paraId="64E796F1"/>
    <w:p w14:paraId="0804AF42">
      <w:pPr>
        <w:widowControl/>
        <w:snapToGrid w:val="0"/>
        <w:spacing w:line="500" w:lineRule="exact"/>
        <w:ind w:firstLine="643" w:firstLineChars="200"/>
        <w:jc w:val="center"/>
        <w:rPr>
          <w:rFonts w:ascii="宋体" w:hAnsi="宋体" w:eastAsia="宋体" w:cs="仿宋_GB2312"/>
          <w:b/>
          <w:sz w:val="32"/>
          <w:szCs w:val="32"/>
        </w:rPr>
      </w:pPr>
      <w:r>
        <w:rPr>
          <w:rFonts w:hint="eastAsia" w:ascii="宋体" w:hAnsi="宋体" w:eastAsia="宋体" w:cs="仿宋_GB2312"/>
          <w:b/>
          <w:sz w:val="32"/>
          <w:szCs w:val="32"/>
        </w:rPr>
        <w:t>第三部分  项目需求</w:t>
      </w:r>
    </w:p>
    <w:p w14:paraId="434CF91E">
      <w:pPr>
        <w:snapToGrid w:val="0"/>
        <w:spacing w:line="500" w:lineRule="exact"/>
        <w:rPr>
          <w:rFonts w:asciiTheme="minorEastAsia" w:hAnsiTheme="minorEastAsia"/>
          <w:b/>
          <w:sz w:val="24"/>
          <w:szCs w:val="24"/>
        </w:rPr>
      </w:pPr>
      <w:r>
        <w:rPr>
          <w:rFonts w:hint="eastAsia" w:asciiTheme="minorEastAsia" w:hAnsiTheme="minorEastAsia"/>
          <w:b/>
          <w:sz w:val="24"/>
          <w:szCs w:val="24"/>
        </w:rPr>
        <w:t>请供应商在制作响应文件时仔细研究项目需求说明。</w:t>
      </w:r>
    </w:p>
    <w:p w14:paraId="0B8F0834">
      <w:pPr>
        <w:widowControl/>
        <w:numPr>
          <w:ilvl w:val="0"/>
          <w:numId w:val="1"/>
        </w:numPr>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采购需求</w:t>
      </w:r>
    </w:p>
    <w:p w14:paraId="4BC87A9B">
      <w:pPr>
        <w:pStyle w:val="2"/>
      </w:pPr>
      <w:r>
        <w:rPr>
          <w:rFonts w:hint="eastAsia" w:hAnsi="宋体" w:cs="宋体"/>
          <w:b/>
          <w:bCs/>
          <w:sz w:val="24"/>
          <w:szCs w:val="24"/>
        </w:rPr>
        <w:t>（一）采购内容</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804"/>
        <w:gridCol w:w="1386"/>
        <w:gridCol w:w="882"/>
        <w:gridCol w:w="850"/>
        <w:gridCol w:w="1953"/>
      </w:tblGrid>
      <w:tr w14:paraId="5610B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09" w:type="dxa"/>
            <w:noWrap/>
            <w:vAlign w:val="center"/>
          </w:tcPr>
          <w:p w14:paraId="16C980A6">
            <w:pPr>
              <w:jc w:val="center"/>
              <w:rPr>
                <w:rFonts w:ascii="宋体" w:hAnsi="宋体"/>
              </w:rPr>
            </w:pPr>
            <w:r>
              <w:rPr>
                <w:rFonts w:hint="eastAsia" w:ascii="宋体" w:hAnsi="宋体"/>
              </w:rPr>
              <w:t>序号</w:t>
            </w:r>
          </w:p>
        </w:tc>
        <w:tc>
          <w:tcPr>
            <w:tcW w:w="2804" w:type="dxa"/>
            <w:noWrap/>
            <w:vAlign w:val="center"/>
          </w:tcPr>
          <w:p w14:paraId="58F985C5">
            <w:pPr>
              <w:jc w:val="center"/>
              <w:rPr>
                <w:rFonts w:ascii="宋体" w:hAnsi="宋体" w:cs="宋体"/>
                <w:b/>
                <w:bCs/>
                <w:sz w:val="22"/>
              </w:rPr>
            </w:pPr>
            <w:r>
              <w:rPr>
                <w:rFonts w:hint="eastAsia"/>
                <w:b/>
                <w:bCs/>
                <w:sz w:val="22"/>
              </w:rPr>
              <w:t xml:space="preserve"> 等保测评系统名称</w:t>
            </w:r>
          </w:p>
        </w:tc>
        <w:tc>
          <w:tcPr>
            <w:tcW w:w="1386" w:type="dxa"/>
            <w:noWrap/>
            <w:vAlign w:val="center"/>
          </w:tcPr>
          <w:p w14:paraId="2E0E2F9D">
            <w:pPr>
              <w:jc w:val="center"/>
              <w:rPr>
                <w:rFonts w:ascii="宋体" w:hAnsi="宋体"/>
              </w:rPr>
            </w:pPr>
            <w:r>
              <w:rPr>
                <w:rFonts w:ascii="宋体" w:hAnsi="宋体"/>
              </w:rPr>
              <w:t>系统等级</w:t>
            </w:r>
          </w:p>
        </w:tc>
        <w:tc>
          <w:tcPr>
            <w:tcW w:w="882" w:type="dxa"/>
            <w:noWrap/>
            <w:vAlign w:val="center"/>
          </w:tcPr>
          <w:p w14:paraId="4E8DDE71">
            <w:pPr>
              <w:jc w:val="center"/>
              <w:rPr>
                <w:rFonts w:ascii="宋体" w:hAnsi="宋体"/>
              </w:rPr>
            </w:pPr>
            <w:r>
              <w:rPr>
                <w:rFonts w:hint="eastAsia" w:ascii="宋体" w:hAnsi="宋体"/>
              </w:rPr>
              <w:t>数量</w:t>
            </w:r>
          </w:p>
        </w:tc>
        <w:tc>
          <w:tcPr>
            <w:tcW w:w="850" w:type="dxa"/>
            <w:noWrap/>
            <w:vAlign w:val="center"/>
          </w:tcPr>
          <w:p w14:paraId="3A4A3741">
            <w:pPr>
              <w:jc w:val="center"/>
              <w:rPr>
                <w:rFonts w:ascii="宋体" w:hAnsi="宋体"/>
              </w:rPr>
            </w:pPr>
            <w:r>
              <w:rPr>
                <w:rFonts w:hint="eastAsia" w:ascii="宋体" w:hAnsi="宋体"/>
              </w:rPr>
              <w:t>单位</w:t>
            </w:r>
          </w:p>
        </w:tc>
        <w:tc>
          <w:tcPr>
            <w:tcW w:w="1953" w:type="dxa"/>
            <w:noWrap/>
            <w:vAlign w:val="center"/>
          </w:tcPr>
          <w:p w14:paraId="7C248FD5">
            <w:pPr>
              <w:jc w:val="center"/>
              <w:rPr>
                <w:rFonts w:ascii="宋体" w:hAnsi="宋体"/>
              </w:rPr>
            </w:pPr>
            <w:r>
              <w:rPr>
                <w:rFonts w:hint="eastAsia" w:ascii="宋体" w:hAnsi="宋体"/>
              </w:rPr>
              <w:t xml:space="preserve"> 最高限价（元）</w:t>
            </w:r>
          </w:p>
        </w:tc>
      </w:tr>
      <w:tr w14:paraId="26C0E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09" w:type="dxa"/>
            <w:noWrap/>
            <w:vAlign w:val="center"/>
          </w:tcPr>
          <w:p w14:paraId="4AC521C8">
            <w:pPr>
              <w:jc w:val="center"/>
              <w:rPr>
                <w:rFonts w:ascii="宋体" w:hAnsi="宋体"/>
              </w:rPr>
            </w:pPr>
            <w:r>
              <w:rPr>
                <w:rFonts w:hint="eastAsia"/>
                <w:sz w:val="22"/>
              </w:rPr>
              <w:t>1</w:t>
            </w:r>
          </w:p>
        </w:tc>
        <w:tc>
          <w:tcPr>
            <w:tcW w:w="2804" w:type="dxa"/>
            <w:noWrap/>
            <w:vAlign w:val="center"/>
          </w:tcPr>
          <w:p w14:paraId="4D4AD94B">
            <w:pPr>
              <w:jc w:val="center"/>
              <w:rPr>
                <w:rFonts w:ascii="宋体" w:hAnsi="宋体" w:cs="宋体"/>
                <w:b/>
                <w:bCs/>
                <w:sz w:val="22"/>
              </w:rPr>
            </w:pPr>
            <w:r>
              <w:rPr>
                <w:rFonts w:hint="eastAsia"/>
                <w:sz w:val="22"/>
              </w:rPr>
              <w:t>营业收费系统MIS</w:t>
            </w:r>
          </w:p>
        </w:tc>
        <w:tc>
          <w:tcPr>
            <w:tcW w:w="1386" w:type="dxa"/>
            <w:noWrap/>
            <w:vAlign w:val="center"/>
          </w:tcPr>
          <w:p w14:paraId="7759FBF1">
            <w:pPr>
              <w:ind w:firstLine="105" w:firstLineChars="50"/>
              <w:jc w:val="center"/>
              <w:rPr>
                <w:rFonts w:ascii="宋体" w:hAnsi="宋体"/>
              </w:rPr>
            </w:pPr>
            <w:r>
              <w:rPr>
                <w:rFonts w:ascii="宋体" w:hAnsi="宋体"/>
              </w:rPr>
              <w:t>第三级</w:t>
            </w:r>
          </w:p>
        </w:tc>
        <w:tc>
          <w:tcPr>
            <w:tcW w:w="882" w:type="dxa"/>
            <w:noWrap/>
            <w:vAlign w:val="center"/>
          </w:tcPr>
          <w:p w14:paraId="7A6649F3">
            <w:pPr>
              <w:ind w:firstLine="105" w:firstLineChars="50"/>
              <w:jc w:val="center"/>
              <w:rPr>
                <w:rFonts w:ascii="宋体" w:hAnsi="宋体"/>
              </w:rPr>
            </w:pPr>
            <w:r>
              <w:rPr>
                <w:rFonts w:hint="eastAsia" w:ascii="宋体" w:hAnsi="宋体"/>
              </w:rPr>
              <w:t>1</w:t>
            </w:r>
          </w:p>
        </w:tc>
        <w:tc>
          <w:tcPr>
            <w:tcW w:w="850" w:type="dxa"/>
            <w:noWrap/>
            <w:vAlign w:val="center"/>
          </w:tcPr>
          <w:p w14:paraId="75EF4475">
            <w:pPr>
              <w:jc w:val="center"/>
              <w:rPr>
                <w:rFonts w:ascii="宋体" w:hAnsi="宋体"/>
              </w:rPr>
            </w:pPr>
            <w:r>
              <w:rPr>
                <w:rFonts w:hint="eastAsia" w:ascii="宋体" w:hAnsi="宋体"/>
              </w:rPr>
              <w:t>项</w:t>
            </w:r>
          </w:p>
        </w:tc>
        <w:tc>
          <w:tcPr>
            <w:tcW w:w="1953" w:type="dxa"/>
            <w:vMerge w:val="restart"/>
            <w:noWrap/>
            <w:vAlign w:val="center"/>
          </w:tcPr>
          <w:p w14:paraId="52FF637F">
            <w:pPr>
              <w:spacing w:line="440" w:lineRule="exact"/>
              <w:jc w:val="center"/>
              <w:rPr>
                <w:rFonts w:ascii="宋体" w:hAnsi="宋体" w:cs="宋体"/>
                <w:szCs w:val="21"/>
              </w:rPr>
            </w:pPr>
            <w:r>
              <w:rPr>
                <w:rFonts w:hint="eastAsia" w:ascii="宋体" w:hAnsi="宋体" w:cs="宋体"/>
                <w:szCs w:val="21"/>
              </w:rPr>
              <w:t>10</w:t>
            </w:r>
            <w:r>
              <w:rPr>
                <w:rFonts w:hint="eastAsia" w:ascii="宋体" w:hAnsi="宋体" w:cs="宋体"/>
                <w:szCs w:val="21"/>
                <w:lang w:val="en-US" w:eastAsia="zh-CN"/>
              </w:rPr>
              <w:t>6</w:t>
            </w:r>
            <w:r>
              <w:rPr>
                <w:rFonts w:hint="eastAsia" w:ascii="宋体" w:hAnsi="宋体" w:cs="宋体"/>
                <w:szCs w:val="21"/>
              </w:rPr>
              <w:t>000</w:t>
            </w:r>
          </w:p>
        </w:tc>
      </w:tr>
      <w:tr w14:paraId="12B77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09" w:type="dxa"/>
            <w:noWrap/>
            <w:vAlign w:val="center"/>
          </w:tcPr>
          <w:p w14:paraId="77E091D0">
            <w:pPr>
              <w:jc w:val="center"/>
              <w:rPr>
                <w:rFonts w:ascii="宋体" w:hAnsi="宋体"/>
              </w:rPr>
            </w:pPr>
            <w:r>
              <w:rPr>
                <w:rFonts w:hint="eastAsia"/>
                <w:sz w:val="22"/>
              </w:rPr>
              <w:t>2</w:t>
            </w:r>
          </w:p>
        </w:tc>
        <w:tc>
          <w:tcPr>
            <w:tcW w:w="2804" w:type="dxa"/>
            <w:noWrap/>
            <w:vAlign w:val="center"/>
          </w:tcPr>
          <w:p w14:paraId="34804AE8">
            <w:pPr>
              <w:jc w:val="center"/>
              <w:rPr>
                <w:sz w:val="22"/>
              </w:rPr>
            </w:pPr>
            <w:r>
              <w:rPr>
                <w:rFonts w:hint="eastAsia"/>
                <w:sz w:val="22"/>
              </w:rPr>
              <w:t>集抄平台（含scada系统）</w:t>
            </w:r>
          </w:p>
        </w:tc>
        <w:tc>
          <w:tcPr>
            <w:tcW w:w="1386" w:type="dxa"/>
            <w:noWrap/>
            <w:vAlign w:val="center"/>
          </w:tcPr>
          <w:p w14:paraId="4C32F616">
            <w:pPr>
              <w:ind w:firstLine="105" w:firstLineChars="50"/>
              <w:jc w:val="center"/>
              <w:rPr>
                <w:rFonts w:ascii="宋体" w:hAnsi="宋体"/>
              </w:rPr>
            </w:pPr>
            <w:r>
              <w:rPr>
                <w:rFonts w:ascii="宋体" w:hAnsi="宋体"/>
              </w:rPr>
              <w:t>第三级</w:t>
            </w:r>
          </w:p>
        </w:tc>
        <w:tc>
          <w:tcPr>
            <w:tcW w:w="882" w:type="dxa"/>
            <w:noWrap/>
            <w:vAlign w:val="center"/>
          </w:tcPr>
          <w:p w14:paraId="7C3F44EE">
            <w:pPr>
              <w:ind w:firstLine="105" w:firstLineChars="50"/>
              <w:jc w:val="center"/>
              <w:rPr>
                <w:rFonts w:ascii="宋体" w:hAnsi="宋体"/>
              </w:rPr>
            </w:pPr>
            <w:r>
              <w:rPr>
                <w:rFonts w:hint="eastAsia" w:ascii="宋体" w:hAnsi="宋体"/>
              </w:rPr>
              <w:t>1</w:t>
            </w:r>
          </w:p>
        </w:tc>
        <w:tc>
          <w:tcPr>
            <w:tcW w:w="850" w:type="dxa"/>
            <w:noWrap/>
            <w:vAlign w:val="center"/>
          </w:tcPr>
          <w:p w14:paraId="492D27E8">
            <w:pPr>
              <w:jc w:val="center"/>
              <w:rPr>
                <w:rFonts w:ascii="宋体" w:hAnsi="宋体"/>
              </w:rPr>
            </w:pPr>
            <w:r>
              <w:rPr>
                <w:rFonts w:hint="eastAsia" w:ascii="宋体" w:hAnsi="宋体"/>
              </w:rPr>
              <w:t>项</w:t>
            </w:r>
          </w:p>
        </w:tc>
        <w:tc>
          <w:tcPr>
            <w:tcW w:w="1953" w:type="dxa"/>
            <w:vMerge w:val="continue"/>
            <w:noWrap/>
            <w:vAlign w:val="center"/>
          </w:tcPr>
          <w:p w14:paraId="55953264">
            <w:pPr>
              <w:spacing w:line="440" w:lineRule="exact"/>
              <w:jc w:val="center"/>
              <w:rPr>
                <w:rFonts w:ascii="宋体" w:hAnsi="宋体" w:cs="宋体"/>
                <w:szCs w:val="21"/>
              </w:rPr>
            </w:pPr>
          </w:p>
        </w:tc>
      </w:tr>
      <w:tr w14:paraId="22255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09" w:type="dxa"/>
            <w:noWrap/>
            <w:vAlign w:val="center"/>
          </w:tcPr>
          <w:p w14:paraId="3F8E0A97">
            <w:pPr>
              <w:jc w:val="center"/>
              <w:rPr>
                <w:rFonts w:ascii="宋体" w:hAnsi="宋体"/>
              </w:rPr>
            </w:pPr>
            <w:r>
              <w:rPr>
                <w:rFonts w:hint="eastAsia"/>
                <w:sz w:val="22"/>
              </w:rPr>
              <w:t>3</w:t>
            </w:r>
          </w:p>
        </w:tc>
        <w:tc>
          <w:tcPr>
            <w:tcW w:w="2804" w:type="dxa"/>
            <w:noWrap/>
            <w:vAlign w:val="center"/>
          </w:tcPr>
          <w:p w14:paraId="73790305">
            <w:pPr>
              <w:jc w:val="center"/>
              <w:rPr>
                <w:rFonts w:ascii="宋体" w:hAnsi="宋体" w:cs="宋体"/>
                <w:sz w:val="22"/>
              </w:rPr>
            </w:pPr>
            <w:r>
              <w:rPr>
                <w:rFonts w:hint="eastAsia"/>
                <w:sz w:val="22"/>
              </w:rPr>
              <w:t>增值服务</w:t>
            </w:r>
          </w:p>
        </w:tc>
        <w:tc>
          <w:tcPr>
            <w:tcW w:w="1386" w:type="dxa"/>
            <w:noWrap/>
            <w:vAlign w:val="center"/>
          </w:tcPr>
          <w:p w14:paraId="15A4B3F3">
            <w:pPr>
              <w:ind w:firstLine="105" w:firstLineChars="50"/>
              <w:jc w:val="center"/>
              <w:rPr>
                <w:rFonts w:ascii="宋体" w:hAnsi="宋体"/>
              </w:rPr>
            </w:pPr>
            <w:r>
              <w:rPr>
                <w:rFonts w:hint="eastAsia" w:ascii="宋体" w:hAnsi="宋体"/>
              </w:rPr>
              <w:t>/</w:t>
            </w:r>
          </w:p>
        </w:tc>
        <w:tc>
          <w:tcPr>
            <w:tcW w:w="882" w:type="dxa"/>
            <w:noWrap/>
            <w:vAlign w:val="center"/>
          </w:tcPr>
          <w:p w14:paraId="2264AE2C">
            <w:pPr>
              <w:ind w:firstLine="105" w:firstLineChars="50"/>
              <w:jc w:val="center"/>
              <w:rPr>
                <w:rFonts w:ascii="宋体" w:hAnsi="宋体"/>
              </w:rPr>
            </w:pPr>
            <w:r>
              <w:rPr>
                <w:rFonts w:hint="eastAsia" w:ascii="宋体" w:hAnsi="宋体"/>
              </w:rPr>
              <w:t>1</w:t>
            </w:r>
          </w:p>
        </w:tc>
        <w:tc>
          <w:tcPr>
            <w:tcW w:w="850" w:type="dxa"/>
            <w:noWrap/>
            <w:vAlign w:val="center"/>
          </w:tcPr>
          <w:p w14:paraId="404328DC">
            <w:pPr>
              <w:jc w:val="center"/>
              <w:rPr>
                <w:rFonts w:ascii="宋体" w:hAnsi="宋体"/>
              </w:rPr>
            </w:pPr>
            <w:r>
              <w:rPr>
                <w:rFonts w:hint="eastAsia" w:ascii="宋体" w:hAnsi="宋体"/>
              </w:rPr>
              <w:t>项</w:t>
            </w:r>
          </w:p>
        </w:tc>
        <w:tc>
          <w:tcPr>
            <w:tcW w:w="1953" w:type="dxa"/>
            <w:vMerge w:val="continue"/>
            <w:noWrap/>
            <w:vAlign w:val="center"/>
          </w:tcPr>
          <w:p w14:paraId="162A5B85">
            <w:pPr>
              <w:spacing w:line="440" w:lineRule="exact"/>
              <w:jc w:val="center"/>
              <w:rPr>
                <w:rFonts w:ascii="宋体" w:hAnsi="宋体" w:cs="宋体"/>
                <w:szCs w:val="21"/>
              </w:rPr>
            </w:pPr>
          </w:p>
        </w:tc>
      </w:tr>
      <w:tr w14:paraId="44ED2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584" w:type="dxa"/>
            <w:gridSpan w:val="6"/>
            <w:noWrap/>
          </w:tcPr>
          <w:p w14:paraId="79AC26F1">
            <w:pPr>
              <w:adjustRightInd w:val="0"/>
              <w:snapToGrid w:val="0"/>
              <w:spacing w:line="360" w:lineRule="exact"/>
              <w:textAlignment w:val="baseline"/>
              <w:rPr>
                <w:rFonts w:ascii="宋体" w:hAnsi="宋体"/>
                <w:b/>
              </w:rPr>
            </w:pPr>
            <w:r>
              <w:rPr>
                <w:rFonts w:hint="eastAsia" w:ascii="宋体" w:hAnsi="宋体"/>
                <w:b/>
              </w:rPr>
              <w:t>备注：报价包括完成本项目全部服务所发生的费用，以及为完成本项目工作所必须的劳务费、编制费、差旅费、资料和数据收集与分析、利润、税金、保险、公安备案等所有相关费用。</w:t>
            </w:r>
          </w:p>
        </w:tc>
      </w:tr>
    </w:tbl>
    <w:p w14:paraId="0960BC21">
      <w:pPr>
        <w:widowControl/>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（二）采购标的需实现的功能或者目标, 以及为落实政府采购政策需满足的要求;</w:t>
      </w:r>
    </w:p>
    <w:p w14:paraId="2AB830D5">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为落实《网络安全法》第二十一条第三款“网络运营者应当按照网络安全等级保护制度的要求”，启东市自来水厂有限公司对重要系统进行网络安全等级保护测评，以明确信息系统现状，发现系统内部存在的安全隐患和不足，加强网络安全升级，降低网络安全隐患。</w:t>
      </w:r>
    </w:p>
    <w:p w14:paraId="2574151A">
      <w:pPr>
        <w:widowControl/>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（三）采购标的需执行的国家相关标准、行业标准、地方标准或者其他标准、规范;</w:t>
      </w:r>
    </w:p>
    <w:p w14:paraId="6693E8D3">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《中华人民共和国网络安全法》</w:t>
      </w:r>
    </w:p>
    <w:p w14:paraId="41F917F5">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22239-2019信息安全技术网络安全等级保护基本要求》</w:t>
      </w:r>
    </w:p>
    <w:p w14:paraId="2D70CB23">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28448-2019 信息安全技术网络安全等级保护测评要求》</w:t>
      </w:r>
    </w:p>
    <w:p w14:paraId="3AC19541">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28449-2018 信息安全技术网络安全等级保护测评过程指南》</w:t>
      </w:r>
    </w:p>
    <w:p w14:paraId="74CD80B6">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25058-2019 信息安全技术网络安全等级保护实施指南》</w:t>
      </w:r>
    </w:p>
    <w:p w14:paraId="3A2C6B2C">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36627-2018信息安全技术 网络安全等级保护测试评估技术指南》</w:t>
      </w:r>
    </w:p>
    <w:p w14:paraId="064EB805">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《GB/T20270-2006信息安全技术 网络基础安全技术要求》</w:t>
      </w:r>
    </w:p>
    <w:p w14:paraId="4884F4BC">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《GB/T20272-2006信息安全技术 操作系统安全技术要求》</w:t>
      </w:r>
    </w:p>
    <w:p w14:paraId="1EC59DA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《GB/T20273-2006信息安全技术 数据库管理系统安全技术要求》</w:t>
      </w:r>
    </w:p>
    <w:p w14:paraId="4B66E65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20269—2006信息安全技术 信息系统安全管理要求》</w:t>
      </w:r>
    </w:p>
    <w:p w14:paraId="56367306">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《GA/T 713-2007信息安全技术 信息系统安全管理测评》</w:t>
      </w:r>
    </w:p>
    <w:p w14:paraId="25720E3C">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《GB/T22080-2008信息技术技术 信息安全管理体系要求》</w:t>
      </w:r>
    </w:p>
    <w:p w14:paraId="5CC9CD80">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《GB/T 20984-2022信息安全技术 信息安全风险评估方法》</w:t>
      </w:r>
    </w:p>
    <w:p w14:paraId="60FC4AAF">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《T/ISEAA 001-2020网络安全等级保护测评高风险判定指引》</w:t>
      </w:r>
    </w:p>
    <w:p w14:paraId="09D587F3">
      <w:pPr>
        <w:widowControl/>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（四）采购标的需满足的质量、安全、技术规格、物理特性等要求;</w:t>
      </w:r>
    </w:p>
    <w:p w14:paraId="48B6469A">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测评原则：</w:t>
      </w:r>
    </w:p>
    <w:p w14:paraId="7C342DBE">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1、客观性和公正性原则：</w:t>
      </w:r>
    </w:p>
    <w:p w14:paraId="04744633">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测评人员应当没有偏见，在最小主观判断情形下，按照评估双方相互认可的评估方案，基于明确定义的测评方式和解释，实施评估活动。</w:t>
      </w:r>
    </w:p>
    <w:p w14:paraId="43B47AD5">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2、可重复性和可再现性原则：</w:t>
      </w:r>
    </w:p>
    <w:p w14:paraId="0F0510A6">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依照同样的要求，使用同样的评估方式，对每个评估实施过程的重复执行应该得到同样的结果。可再现性和可重复性的区别在于，前者与不同评估者评估结果的一致性有关，后者与同一评估者评估结果的一致性有关。</w:t>
      </w:r>
    </w:p>
    <w:p w14:paraId="5021CB4B">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3、连续性原则：</w:t>
      </w:r>
    </w:p>
    <w:p w14:paraId="656ABE0E">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确保在高速变化的信息安全环境中，在有效的服务期间内，保证采购方风险评估结论的准确性和及时性，对于采购方单位新增设的信息资产和服务，或新建立的信息化项目，进行局部系统的重新评估。从经济上，降低了采购方单位的成本，从信息安全性上，保证信息安全测评的动态稳定性。</w:t>
      </w:r>
    </w:p>
    <w:p w14:paraId="23DB873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4、扩展性原则：</w:t>
      </w:r>
    </w:p>
    <w:p w14:paraId="223F0920">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在评估过程结束后，信息安全测评过程要保持扩展性，从扩展的属性上进一步加强测评结束后采购方的安全管理有效性和可用性。</w:t>
      </w:r>
    </w:p>
    <w:p w14:paraId="3C2DF0E8">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5、保密原则：</w:t>
      </w:r>
    </w:p>
    <w:p w14:paraId="679311D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在测评过程中，需严格遵循保密原则，双方签订保密协议，对服务过程中涉及到的任何用户信息未经允许不向其他任何第三方泄漏，以及不得利用这些信息损害采购方利益。</w:t>
      </w:r>
    </w:p>
    <w:p w14:paraId="1F1E525B">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6、互动原则：</w:t>
      </w:r>
    </w:p>
    <w:p w14:paraId="6DD9BB94">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在整个测评过程中，强调采购方的互动参与，每个阶段都能够及时根据采购方的要求和实际情况对测评的内容、方式做出相关调整，进而更好的进行风险评估工作。</w:t>
      </w:r>
    </w:p>
    <w:p w14:paraId="5327CD8D">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7、最小影响原则：</w:t>
      </w:r>
    </w:p>
    <w:p w14:paraId="449CFA51">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测评工作应该尽可能小地影响系统和网络的正常运行，不能对业务的正常运行产生明显的影响（包括系统性能明显下降、网络阻塞、服务中断等），如无法避免，则应做出说明。</w:t>
      </w:r>
    </w:p>
    <w:p w14:paraId="75805715">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8、规范性原则：</w:t>
      </w:r>
    </w:p>
    <w:p w14:paraId="22E409FB">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网络安全等级保护测评服务的实施必须由专业的测评服务人员依照规范的操作流程进行，对操作过程和结果要有相应的记录，并提供完整的服务报告。</w:t>
      </w:r>
    </w:p>
    <w:p w14:paraId="3685ACB4">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9、质量保障原则：</w:t>
      </w:r>
    </w:p>
    <w:p w14:paraId="00F05E9B">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在整个测评过程中，须特别重视项目质量管理。项目的实施将严格按照项目实施方案和流程进行，并由项目协调小组从中监督，控制项目的进度和质量。</w:t>
      </w:r>
    </w:p>
    <w:p w14:paraId="4512A18A">
      <w:pPr>
        <w:widowControl/>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（五）采购标的的数量、采购项目交付或者实施的时间和地点；</w:t>
      </w:r>
    </w:p>
    <w:p w14:paraId="6662C758">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2个三级等保系统，以通过公安备案的数量为准。供应商须根据被测信息的安全保护等级，完成网络安全等级保护现状分析、安全建设整改支持、网络安全等级保护测评、增值服务四个方面的服务内容。</w:t>
      </w:r>
    </w:p>
    <w:p w14:paraId="58006339">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测评时间要求：按照被测单位要求，合同签订完毕一周内启动测评工作。</w:t>
      </w:r>
    </w:p>
    <w:p w14:paraId="166C830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测评期限要求：签订合同后30日内完成网络安全等级保护测评及出具盖章报告，并完成备案。</w:t>
      </w:r>
    </w:p>
    <w:p w14:paraId="1421F2AE">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服务地点：采购方指定地点。</w:t>
      </w:r>
    </w:p>
    <w:p w14:paraId="70DF633A">
      <w:pPr>
        <w:widowControl/>
        <w:spacing w:line="480" w:lineRule="exact"/>
        <w:ind w:firstLine="482" w:firstLineChars="200"/>
        <w:jc w:val="left"/>
        <w:rPr>
          <w:rFonts w:ascii="宋体" w:hAnsi="宋体" w:eastAsia="宋体" w:cs="宋体"/>
          <w:b/>
          <w:bCs/>
          <w:kern w:val="0"/>
          <w:sz w:val="24"/>
          <w:szCs w:val="24"/>
        </w:rPr>
      </w:pPr>
      <w:r>
        <w:rPr>
          <w:rFonts w:hint="eastAsia" w:ascii="宋体" w:hAnsi="宋体" w:eastAsia="宋体" w:cs="宋体"/>
          <w:b/>
          <w:bCs/>
          <w:kern w:val="0"/>
          <w:sz w:val="24"/>
          <w:szCs w:val="24"/>
        </w:rPr>
        <w:t>（六）采购标的需满足的服务标准、效率等要求;</w:t>
      </w:r>
    </w:p>
    <w:p w14:paraId="08CB91F1">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1、总体要求：</w:t>
      </w:r>
    </w:p>
    <w:p w14:paraId="4F9A1076">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（1）完成上述系统安全等级测评工作，测评后经用户方确认，出具符合网络安全等级保护测评要求的测评报告；</w:t>
      </w:r>
    </w:p>
    <w:p w14:paraId="67AF0FBD">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（2）对上述系统不符合网络安全等级保护有关管理规范和技术标准的，提出可行性整改方案，提供相应的安全整改建议书。</w:t>
      </w:r>
    </w:p>
    <w:p w14:paraId="02641CA2">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2、网络安全等级保护测评内容：</w:t>
      </w:r>
    </w:p>
    <w:p w14:paraId="0BDF41FA">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（1）安全技术测评：包括安全物理环境、安全区域边界、安全通信网络、安全计算环境和安全管理中心五个方面的安全测评；</w:t>
      </w:r>
    </w:p>
    <w:p w14:paraId="63372A44">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（2）安全管理测评：安全管理机构、安全管理制度、安全管理人员、安全建设管理和安全运维管理五个方面的安全控制测评</w:t>
      </w:r>
    </w:p>
    <w:p w14:paraId="4F5BE290">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3、提供整改咨询服务，根据所测系统的最终测评报告，对系统现状提出安全整改建议并协助整改工作，以期达到整改目的。</w:t>
      </w:r>
    </w:p>
    <w:p w14:paraId="34006D3D">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4、增值服务</w:t>
      </w:r>
    </w:p>
    <w:p w14:paraId="5DE57FFB">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1）漏洞扫描服务：周期开展全面的漏洞扫描服务，使用漏洞扫描系统并结合人工方式，进行安全漏洞扫描；对识别出的能被入侵者用来非法进入网络或者非法获取信息资产的漏洞，提醒安全管理员，及时完善安全策略，降低安全风险查；每个月完成一次漏洞检查，及时发现最新的安全漏洞及安全风险，并出具详细的漏洞扫描报告及协助整改。</w:t>
      </w:r>
    </w:p>
    <w:p w14:paraId="5695DAF4">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（2）渗透测试服务：</w:t>
      </w:r>
    </w:p>
    <w:p w14:paraId="216A1B30">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①每季度渗透测试：针对渗透测试服务范围，并结合等级保护合规性测评等各项检查工作的成果，在可控范围内采用外部渗透方式对应用系统和网络安全基础设施进行非破坏性质的模拟入侵者攻击的测试，检测外部威胁源和路径，以便掌握系统的安全状况，寻找系统存在的漏洞和风险；并出具渗透测试报告；</w:t>
      </w:r>
    </w:p>
    <w:p w14:paraId="5DA207F0">
      <w:pPr>
        <w:widowControl/>
        <w:spacing w:line="480" w:lineRule="exact"/>
        <w:ind w:firstLine="480" w:firstLineChars="200"/>
        <w:jc w:val="left"/>
        <w:rPr>
          <w:rFonts w:ascii="宋体" w:hAnsi="宋体" w:eastAsia="宋体" w:cs="宋体"/>
          <w:bCs/>
          <w:kern w:val="0"/>
          <w:sz w:val="24"/>
          <w:szCs w:val="24"/>
          <w:highlight w:val="yellow"/>
        </w:rPr>
      </w:pPr>
      <w:r>
        <w:rPr>
          <w:rFonts w:hint="eastAsia" w:ascii="宋体" w:hAnsi="宋体" w:eastAsia="宋体" w:cs="宋体"/>
          <w:bCs/>
          <w:kern w:val="0"/>
          <w:sz w:val="24"/>
          <w:szCs w:val="24"/>
        </w:rPr>
        <w:t>②每季度漏洞修复：提供漏洞修复服务，依据渗透测试的结果，对发现的应用系统和应用系统承载设施存在的安全风险给出修复建议，协助软件公司修复并出具漏洞修复建议和报告；</w:t>
      </w:r>
    </w:p>
    <w:p w14:paraId="73D83D3C">
      <w:pPr>
        <w:widowControl/>
        <w:spacing w:line="480" w:lineRule="exact"/>
        <w:ind w:firstLine="480" w:firstLineChars="200"/>
        <w:jc w:val="left"/>
        <w:rPr>
          <w:rFonts w:ascii="仿宋" w:hAnsi="仿宋" w:eastAsia="仿宋" w:cs="仿宋"/>
          <w:bCs/>
          <w:kern w:val="0"/>
          <w:sz w:val="28"/>
          <w:szCs w:val="28"/>
          <w:highlight w:val="yellow"/>
        </w:rPr>
      </w:pPr>
      <w:r>
        <w:rPr>
          <w:rFonts w:hint="eastAsia" w:ascii="宋体" w:hAnsi="宋体" w:eastAsia="宋体" w:cs="宋体"/>
          <w:bCs/>
          <w:kern w:val="0"/>
          <w:sz w:val="24"/>
          <w:szCs w:val="24"/>
        </w:rPr>
        <w:t>（3）安全培训服务：针对员工的安全意识进行培训，保证人员具有与其岗位职责相适应安全意识，以减少人为因素给系统带来的安全风险。安全意识培训：主要针对内部员工及用户指定的相关人员，旨在提高全员的安全意识，包括日常网络安全防范、上网行为安全规范、网络安全法律法规宣贯等内容。 安全意识培训的方式包括：专家讲座、安全展板、手册、动画短片等方式（需根据用户实际需求选择）；安全培训服务次数：服务期内不少于二次，实际次数以用户要求为准。</w:t>
      </w:r>
      <w:r>
        <w:rPr>
          <w:rFonts w:hint="eastAsia" w:ascii="宋体" w:hAnsi="宋体" w:eastAsia="宋体" w:cs="宋体"/>
          <w:bCs/>
          <w:kern w:val="0"/>
          <w:sz w:val="24"/>
          <w:szCs w:val="24"/>
          <w:lang w:eastAsia="zh-CN"/>
        </w:rPr>
        <w:t>（</w:t>
      </w:r>
      <w:r>
        <w:rPr>
          <w:rFonts w:hint="eastAsia" w:ascii="宋体" w:hAnsi="宋体" w:eastAsia="宋体" w:cs="宋体"/>
          <w:bCs/>
          <w:kern w:val="0"/>
          <w:sz w:val="24"/>
          <w:szCs w:val="24"/>
          <w:lang w:val="en-US" w:eastAsia="zh-CN"/>
        </w:rPr>
        <w:t>服务单位需提供网络安全技能培训教材和配套课件，教材需自行编写印刷成册，同时提供u盘拷贝。</w:t>
      </w:r>
      <w:r>
        <w:rPr>
          <w:rFonts w:hint="eastAsia" w:ascii="宋体" w:hAnsi="宋体" w:eastAsia="宋体" w:cs="宋体"/>
          <w:bCs/>
          <w:kern w:val="0"/>
          <w:sz w:val="24"/>
          <w:szCs w:val="24"/>
          <w:lang w:eastAsia="zh-CN"/>
        </w:rPr>
        <w:t>）</w:t>
      </w:r>
    </w:p>
    <w:p w14:paraId="43B79F72">
      <w:pPr>
        <w:widowControl/>
        <w:spacing w:line="480" w:lineRule="exact"/>
        <w:ind w:firstLine="480" w:firstLineChars="200"/>
        <w:jc w:val="left"/>
        <w:rPr>
          <w:rFonts w:ascii="宋体" w:hAnsi="宋体" w:eastAsia="宋体" w:cs="宋体"/>
          <w:bCs/>
          <w:kern w:val="0"/>
          <w:sz w:val="24"/>
          <w:szCs w:val="24"/>
          <w:highlight w:val="yellow"/>
        </w:rPr>
      </w:pPr>
    </w:p>
    <w:p w14:paraId="4C3F3D9A">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4）安全预警保障服务：在政府的重大活动期间、国家护网行动期间、国家法定的重大节假日等重要时刻，以邮件、电话、走访、微信等方式提前做技术交流，帮助采购单位保持领先的安全理念和技术，并在可能对其业务运营产生重大影响的时刻，提供7*24小时保障服务。对跟当前信息系统有关的最新漏洞进行通告预警，遵循及时有效的原则。</w:t>
      </w:r>
    </w:p>
    <w:p w14:paraId="36417F08">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（5）安全管理制度梳理服务：落实单位信息系统安全保护制度；按照等级保护安全管理制度的建设步骤，梳理现有安全管理制度，完善单位安全管理制度，细化各项操作流程、规范、表单；</w:t>
      </w:r>
    </w:p>
    <w:p w14:paraId="78F456F8">
      <w:pPr>
        <w:widowControl/>
        <w:spacing w:line="480" w:lineRule="exact"/>
        <w:ind w:firstLine="480" w:firstLineChars="200"/>
        <w:jc w:val="left"/>
        <w:rPr>
          <w:rFonts w:ascii="宋体" w:hAnsi="宋体" w:eastAsia="宋体" w:cs="宋体"/>
          <w:bCs/>
          <w:kern w:val="0"/>
          <w:sz w:val="24"/>
          <w:szCs w:val="24"/>
          <w:lang w:val="zh-CN"/>
        </w:rPr>
      </w:pPr>
      <w:r>
        <w:rPr>
          <w:rFonts w:hint="eastAsia" w:ascii="宋体" w:hAnsi="宋体" w:eastAsia="宋体" w:cs="宋体"/>
          <w:bCs/>
          <w:kern w:val="0"/>
          <w:sz w:val="24"/>
          <w:szCs w:val="24"/>
        </w:rPr>
        <w:t>（6）补丁升级服务:</w:t>
      </w:r>
      <w:r>
        <w:rPr>
          <w:rFonts w:hint="eastAsia" w:ascii="宋体" w:hAnsi="宋体" w:eastAsia="宋体" w:cs="宋体"/>
          <w:bCs/>
          <w:kern w:val="0"/>
          <w:sz w:val="24"/>
          <w:szCs w:val="24"/>
          <w:lang w:val="zh-CN"/>
        </w:rPr>
        <w:t>补丁修复漏洞，安全配置增强等技术手段进行安全加固和优化，提高系统的安全性和抗攻击能力。另需要其他第三方支持的（如需应用开发方修复或是设备原厂响应的）。</w:t>
      </w:r>
    </w:p>
    <w:p w14:paraId="7CB841C7">
      <w:pPr>
        <w:widowControl/>
        <w:spacing w:line="480" w:lineRule="exact"/>
        <w:ind w:firstLine="480" w:firstLineChars="200"/>
        <w:jc w:val="left"/>
        <w:rPr>
          <w:rFonts w:ascii="宋体" w:hAnsi="宋体" w:eastAsia="宋体" w:cs="宋体"/>
          <w:bCs/>
          <w:kern w:val="0"/>
          <w:sz w:val="24"/>
          <w:szCs w:val="24"/>
        </w:rPr>
      </w:pPr>
      <w:r>
        <w:rPr>
          <w:rFonts w:hint="eastAsia" w:ascii="宋体" w:hAnsi="宋体" w:eastAsia="宋体" w:cs="宋体"/>
          <w:bCs/>
          <w:kern w:val="0"/>
          <w:sz w:val="24"/>
          <w:szCs w:val="24"/>
        </w:rPr>
        <w:t>（7）</w:t>
      </w:r>
      <w:r>
        <w:rPr>
          <w:rFonts w:hint="eastAsia" w:ascii="宋体" w:hAnsi="宋体" w:eastAsia="宋体" w:cs="宋体"/>
          <w:bCs/>
          <w:kern w:val="0"/>
          <w:sz w:val="24"/>
          <w:szCs w:val="24"/>
          <w:lang w:val="zh-CN"/>
        </w:rPr>
        <w:t>咨询服务</w:t>
      </w:r>
      <w:r>
        <w:rPr>
          <w:rFonts w:hint="eastAsia" w:ascii="宋体" w:hAnsi="宋体" w:eastAsia="宋体" w:cs="宋体"/>
          <w:bCs/>
          <w:kern w:val="0"/>
          <w:sz w:val="24"/>
          <w:szCs w:val="24"/>
        </w:rPr>
        <w:t>:</w:t>
      </w:r>
    </w:p>
    <w:p w14:paraId="1035DA3B">
      <w:pPr>
        <w:widowControl/>
        <w:spacing w:line="480" w:lineRule="exact"/>
        <w:ind w:firstLine="480" w:firstLineChars="200"/>
        <w:jc w:val="left"/>
        <w:rPr>
          <w:rFonts w:ascii="宋体" w:hAnsi="宋体" w:eastAsia="宋体" w:cs="宋体"/>
          <w:bCs/>
          <w:kern w:val="0"/>
          <w:sz w:val="24"/>
          <w:szCs w:val="24"/>
          <w:lang w:val="zh-CN"/>
        </w:rPr>
      </w:pPr>
      <w:r>
        <w:rPr>
          <w:rFonts w:hint="eastAsia" w:ascii="宋体" w:hAnsi="宋体" w:eastAsia="宋体" w:cs="宋体"/>
          <w:bCs/>
          <w:kern w:val="0"/>
          <w:sz w:val="24"/>
          <w:szCs w:val="24"/>
        </w:rPr>
        <w:t>①</w:t>
      </w:r>
      <w:r>
        <w:rPr>
          <w:rFonts w:hint="eastAsia" w:ascii="宋体" w:hAnsi="宋体" w:eastAsia="宋体" w:cs="宋体"/>
          <w:bCs/>
          <w:kern w:val="0"/>
          <w:sz w:val="24"/>
          <w:szCs w:val="24"/>
          <w:lang w:val="zh-CN"/>
        </w:rPr>
        <w:t>安全建设咨询规划</w:t>
      </w:r>
    </w:p>
    <w:p w14:paraId="51AD802D">
      <w:pPr>
        <w:widowControl/>
        <w:spacing w:line="480" w:lineRule="exact"/>
        <w:ind w:firstLine="480" w:firstLineChars="200"/>
        <w:jc w:val="left"/>
        <w:rPr>
          <w:rFonts w:ascii="宋体" w:hAnsi="宋体" w:eastAsia="宋体" w:cs="宋体"/>
          <w:bCs/>
          <w:kern w:val="0"/>
          <w:sz w:val="24"/>
          <w:szCs w:val="24"/>
          <w:lang w:val="zh-CN"/>
        </w:rPr>
      </w:pPr>
      <w:r>
        <w:rPr>
          <w:rFonts w:hint="eastAsia" w:ascii="宋体" w:hAnsi="宋体" w:eastAsia="宋体" w:cs="宋体"/>
          <w:bCs/>
          <w:kern w:val="0"/>
          <w:sz w:val="24"/>
          <w:szCs w:val="24"/>
          <w:lang w:val="zh-CN"/>
        </w:rPr>
        <w:t>以前期资产梳理、安全评估、网络拓扑、数据流向等工作成果作为现实依据，结合采购人的实际需求，参考国内外安全标准和国内新技术研究（如等保2.0、关键信息基础设施保护条例、商用密码体系、云计算、大数据、物联网、移动安全）对采购人网络安全建设提供咨询服务，包括网络安全结构设计、系统安全设计、年度建设规划和其他网络安全方案设计；提供网络安全远景规划设计，为未来网络信息安全工作开展提供有力指导与支撑。</w:t>
      </w:r>
      <w:r>
        <w:rPr>
          <w:rFonts w:hint="eastAsia" w:ascii="宋体" w:hAnsi="宋体" w:eastAsia="宋体" w:cs="宋体"/>
          <w:bCs/>
          <w:kern w:val="0"/>
          <w:sz w:val="24"/>
          <w:szCs w:val="24"/>
          <w:lang w:val="zh-CN"/>
        </w:rPr>
        <w:br w:type="textWrapping"/>
      </w:r>
      <w:r>
        <w:rPr>
          <w:rFonts w:hint="eastAsia" w:ascii="宋体" w:hAnsi="宋体" w:eastAsia="宋体" w:cs="宋体"/>
          <w:bCs/>
          <w:kern w:val="0"/>
          <w:sz w:val="24"/>
          <w:szCs w:val="24"/>
        </w:rPr>
        <w:t xml:space="preserve">   ②</w:t>
      </w:r>
      <w:r>
        <w:rPr>
          <w:rFonts w:hint="eastAsia" w:ascii="宋体" w:hAnsi="宋体" w:eastAsia="宋体" w:cs="宋体"/>
          <w:bCs/>
          <w:kern w:val="0"/>
          <w:sz w:val="24"/>
          <w:szCs w:val="24"/>
          <w:lang w:val="zh-CN"/>
        </w:rPr>
        <w:t>日常安全问题咨询</w:t>
      </w:r>
      <w:r>
        <w:rPr>
          <w:rFonts w:hint="eastAsia" w:ascii="宋体" w:hAnsi="宋体" w:eastAsia="宋体" w:cs="宋体"/>
          <w:bCs/>
          <w:kern w:val="0"/>
          <w:sz w:val="24"/>
          <w:szCs w:val="24"/>
          <w:lang w:val="zh-CN"/>
        </w:rPr>
        <w:br w:type="textWrapping"/>
      </w:r>
      <w:r>
        <w:rPr>
          <w:rFonts w:hint="eastAsia" w:ascii="宋体" w:hAnsi="宋体" w:eastAsia="宋体" w:cs="宋体"/>
          <w:bCs/>
          <w:kern w:val="0"/>
          <w:sz w:val="24"/>
          <w:szCs w:val="24"/>
          <w:lang w:val="zh-CN"/>
        </w:rPr>
        <w:t>依据实际需求，参考国内外安全标准，提供日常安全问题咨询服务，主要包括大的安全决策、安全事件处理等。 针对各类网络安全事件，提供完整全面的处理方案，方案具有可操作性、能够指导采购人进行事件处理和应对。</w:t>
      </w:r>
      <w:r>
        <w:rPr>
          <w:rFonts w:hint="eastAsia" w:ascii="宋体" w:hAnsi="宋体" w:eastAsia="宋体" w:cs="宋体"/>
          <w:bCs/>
          <w:kern w:val="0"/>
          <w:sz w:val="24"/>
          <w:szCs w:val="24"/>
          <w:lang w:val="zh-CN"/>
        </w:rPr>
        <w:br w:type="textWrapping"/>
      </w:r>
      <w:r>
        <w:rPr>
          <w:rFonts w:hint="eastAsia" w:ascii="宋体" w:hAnsi="宋体" w:eastAsia="宋体" w:cs="宋体"/>
          <w:bCs/>
          <w:kern w:val="0"/>
          <w:sz w:val="24"/>
          <w:szCs w:val="24"/>
        </w:rPr>
        <w:t xml:space="preserve">   ③</w:t>
      </w:r>
      <w:r>
        <w:rPr>
          <w:rFonts w:hint="eastAsia" w:ascii="宋体" w:hAnsi="宋体" w:eastAsia="宋体" w:cs="宋体"/>
          <w:bCs/>
          <w:kern w:val="0"/>
          <w:sz w:val="24"/>
          <w:szCs w:val="24"/>
          <w:lang w:val="zh-CN"/>
        </w:rPr>
        <w:t>网络安全等级保护咨询</w:t>
      </w:r>
      <w:r>
        <w:rPr>
          <w:rFonts w:hint="eastAsia" w:ascii="宋体" w:hAnsi="宋体" w:eastAsia="宋体" w:cs="宋体"/>
          <w:bCs/>
          <w:kern w:val="0"/>
          <w:sz w:val="24"/>
          <w:szCs w:val="24"/>
          <w:lang w:val="zh-CN"/>
        </w:rPr>
        <w:br w:type="textWrapping"/>
      </w:r>
      <w:r>
        <w:rPr>
          <w:rFonts w:hint="eastAsia" w:ascii="宋体" w:hAnsi="宋体" w:eastAsia="宋体" w:cs="宋体"/>
          <w:bCs/>
          <w:kern w:val="0"/>
          <w:sz w:val="24"/>
          <w:szCs w:val="24"/>
          <w:lang w:val="zh-CN"/>
        </w:rPr>
        <w:t>深化网络安全等级保护工作，基于对网络安全的深刻理解，在等级保护的框架下构建一个安全、可靠、灵活、可持续改进的网络安全体系，对等级保护各个阶段的工作重点为客户提供全方位的支持和服务，协助完成定级备案、差距分析、安全整改或安全建议和协助厂家等保测评工作。</w:t>
      </w:r>
    </w:p>
    <w:p w14:paraId="2225327A">
      <w:pPr>
        <w:widowControl/>
        <w:spacing w:line="480" w:lineRule="exact"/>
        <w:ind w:firstLine="480" w:firstLineChars="200"/>
        <w:jc w:val="left"/>
        <w:rPr>
          <w:rFonts w:ascii="宋体" w:hAnsi="宋体" w:eastAsia="宋体" w:cs="宋体"/>
          <w:bCs/>
          <w:kern w:val="0"/>
          <w:sz w:val="24"/>
          <w:szCs w:val="24"/>
          <w:lang w:val="zh-CN"/>
        </w:rPr>
      </w:pPr>
      <w:r>
        <w:rPr>
          <w:rFonts w:hint="eastAsia" w:ascii="宋体" w:hAnsi="宋体" w:eastAsia="宋体" w:cs="宋体"/>
          <w:bCs/>
          <w:kern w:val="0"/>
          <w:sz w:val="24"/>
          <w:szCs w:val="24"/>
        </w:rPr>
        <w:t>（8）</w:t>
      </w:r>
      <w:r>
        <w:rPr>
          <w:rFonts w:hint="eastAsia" w:ascii="宋体" w:hAnsi="宋体" w:eastAsia="宋体" w:cs="宋体"/>
          <w:bCs/>
          <w:kern w:val="0"/>
          <w:sz w:val="24"/>
          <w:szCs w:val="24"/>
          <w:lang w:val="zh-CN"/>
        </w:rPr>
        <w:t>安全加固服务</w:t>
      </w:r>
      <w:r>
        <w:rPr>
          <w:rFonts w:hint="eastAsia" w:ascii="宋体" w:hAnsi="宋体" w:eastAsia="宋体" w:cs="宋体"/>
          <w:bCs/>
          <w:kern w:val="0"/>
          <w:sz w:val="24"/>
          <w:szCs w:val="24"/>
        </w:rPr>
        <w:t>:</w:t>
      </w:r>
      <w:r>
        <w:rPr>
          <w:rFonts w:hint="eastAsia" w:ascii="宋体" w:hAnsi="宋体" w:eastAsia="宋体" w:cs="宋体"/>
          <w:bCs/>
          <w:kern w:val="0"/>
          <w:sz w:val="24"/>
          <w:szCs w:val="24"/>
          <w:lang w:val="zh-CN"/>
        </w:rPr>
        <w:t>启东市自来水厂有限公司系统涉及的应用服务操作系统加固、应用服务加固、程序代码加固服务，能抵御对操作系统的直接攻击，能在发生攻击时限制影响范围。</w:t>
      </w:r>
    </w:p>
    <w:p w14:paraId="5419CC51">
      <w:pPr>
        <w:widowControl/>
        <w:spacing w:line="480" w:lineRule="exact"/>
        <w:ind w:firstLine="482" w:firstLineChars="200"/>
        <w:jc w:val="left"/>
        <w:rPr>
          <w:rFonts w:ascii="宋体" w:hAnsi="宋体" w:eastAsia="宋体" w:cs="宋体"/>
          <w:b/>
          <w:kern w:val="0"/>
          <w:sz w:val="24"/>
          <w:szCs w:val="24"/>
        </w:rPr>
      </w:pPr>
      <w:r>
        <w:rPr>
          <w:rFonts w:hint="eastAsia" w:ascii="宋体" w:hAnsi="宋体" w:eastAsia="宋体" w:cs="宋体"/>
          <w:b/>
          <w:kern w:val="0"/>
          <w:sz w:val="24"/>
          <w:szCs w:val="24"/>
        </w:rPr>
        <w:t>以上增值服务未能履约、及时响应的，并对启东市自来水厂有限公司造成严重负面影响的将列入黑名单，不得再参与启东水司的任何采购项目，并且有权全额扣除全部履约保证金，全额不予退还，同时采购单位亦有权终止合同，成交供应商还须承担相应的法律赔偿责任。</w:t>
      </w:r>
    </w:p>
    <w:p w14:paraId="762A2047">
      <w:pPr>
        <w:widowControl/>
        <w:spacing w:line="480" w:lineRule="exact"/>
        <w:ind w:firstLine="361" w:firstLineChars="150"/>
        <w:jc w:val="left"/>
        <w:rPr>
          <w:rFonts w:ascii="宋体" w:hAnsi="宋体" w:eastAsia="宋体" w:cs="宋体"/>
          <w:b/>
          <w:bCs/>
          <w:kern w:val="0"/>
          <w:sz w:val="24"/>
          <w:szCs w:val="24"/>
        </w:rPr>
      </w:pPr>
      <w:r>
        <w:rPr>
          <w:rFonts w:hint="eastAsia" w:ascii="宋体" w:hAnsi="宋体" w:eastAsia="宋体" w:cs="宋体"/>
          <w:b/>
          <w:bCs/>
          <w:kern w:val="0"/>
          <w:sz w:val="24"/>
          <w:szCs w:val="24"/>
        </w:rPr>
        <w:t>（七）采购标的验收标准;</w:t>
      </w:r>
    </w:p>
    <w:p w14:paraId="41F7FDA0">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采购人按合同约定积极配合成交供应商履约，成交供应商履约到位，完成备案取得三级等保的测评报告后，且履约期满后，请以书面形式向采购单位提出验收申请，采购人接到申请后及时组织相关专业技术人员及相关部门参与验收，并出具验收证明书。</w:t>
      </w:r>
    </w:p>
    <w:p w14:paraId="325CC8B2">
      <w:pPr>
        <w:widowControl/>
        <w:spacing w:line="480" w:lineRule="exact"/>
        <w:ind w:firstLine="361" w:firstLineChars="150"/>
        <w:jc w:val="left"/>
        <w:rPr>
          <w:rFonts w:ascii="宋体" w:hAnsi="宋体" w:eastAsia="宋体" w:cs="宋体"/>
          <w:b/>
          <w:bCs/>
          <w:kern w:val="0"/>
          <w:sz w:val="24"/>
          <w:szCs w:val="24"/>
        </w:rPr>
      </w:pPr>
      <w:r>
        <w:rPr>
          <w:rFonts w:hint="eastAsia" w:ascii="宋体" w:hAnsi="宋体" w:eastAsia="宋体" w:cs="宋体"/>
          <w:b/>
          <w:bCs/>
          <w:kern w:val="0"/>
          <w:sz w:val="24"/>
          <w:szCs w:val="24"/>
        </w:rPr>
        <w:t>（八）采购标的的其他技术、服务等要求；</w:t>
      </w:r>
    </w:p>
    <w:p w14:paraId="20A18249">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1、项目配合：项目实施过程中，成交供应商如需采购人配合，成交供应商需要详细描述需要配合的内容。如需要采购人填写各种表单，需要详细描述表单的名称、功能及主要表项等等。采购人有权利拒绝提供任何信息列表以外的资产信息。</w:t>
      </w:r>
    </w:p>
    <w:p w14:paraId="660295FD">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2、人员配备：成交供应商配备的服务人员须具备信息安全等级测评师资质。</w:t>
      </w:r>
    </w:p>
    <w:p w14:paraId="34F1C2DC">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3、设备要求：本项目中可能需要的软硬件平台均由成交供应商提供，采购人可按照相关要求对设备进行必要的处理。成交供应商须保证所使用的所有工具和软件不具有所有权和知识产权纠纷，并保证工具和软件的可用性和可靠性，由此产生的一切责任由成交供应商负完全责任。</w:t>
      </w:r>
    </w:p>
    <w:p w14:paraId="0FAB42DE">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4、质量要求：成交供应商须向采购人提供详细的测评材料、各种表单及结果报告。测评服务的范围、内容、形式、标准等应符合国家及行业的有关标准及规范要求。</w:t>
      </w:r>
    </w:p>
    <w:p w14:paraId="2A600F40">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5、风险控制：所有服务工作必须保证不影响采购人业务系统的正常运行，成交供应商须制定科学、有效的风险分析与控制措施。</w:t>
      </w:r>
    </w:p>
    <w:p w14:paraId="6382F2D3">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6、安全保密：成交供应商须与采购人签订保密协议，服务人员须遵循采购人的各项规章制度，服务中所接触到的各种资料、文档等一切信息，未经采购人同意，不得向任何第三方泄露。</w:t>
      </w:r>
    </w:p>
    <w:p w14:paraId="3B39BB98">
      <w:pPr>
        <w:widowControl/>
        <w:spacing w:line="480" w:lineRule="exact"/>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7、本项目须由成交供应商独立完成，不得转包或分包。</w:t>
      </w:r>
    </w:p>
    <w:p w14:paraId="7C67B8C5">
      <w:pPr>
        <w:pStyle w:val="2"/>
        <w:keepNext w:val="0"/>
        <w:keepLines w:val="0"/>
        <w:pageBreakBefore w:val="0"/>
        <w:widowControl/>
        <w:kinsoku/>
        <w:wordWrap/>
        <w:overflowPunct/>
        <w:topLinePunct w:val="0"/>
        <w:autoSpaceDE w:val="0"/>
        <w:autoSpaceDN w:val="0"/>
        <w:bidi w:val="0"/>
        <w:adjustRightInd/>
        <w:snapToGrid/>
        <w:spacing w:line="480" w:lineRule="exact"/>
        <w:ind w:firstLine="467" w:firstLineChars="194"/>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8、其他要求：在服务期间，必须确保不发生任何网络安全事故通报。若发生1次事故通报，将扣除合同金额的20%；若发生2次事故通报，将扣除合同金额的50%；若发生3次事故通报，将立即终止合同，全额扣除履约保证金，所产生的所有损失由服务商全额承担，不设上限索赔。且出现问题造成严重负面影响的或服务商责任违约的将列入黑名单，不得再参与启东市自来水厂有限公司的任何采购项目。</w:t>
      </w:r>
    </w:p>
    <w:p w14:paraId="5FAC66F2">
      <w:pPr>
        <w:snapToGrid w:val="0"/>
        <w:spacing w:line="500" w:lineRule="exact"/>
        <w:ind w:firstLine="482" w:firstLineChars="200"/>
        <w:rPr>
          <w:rFonts w:hint="eastAsia" w:ascii="宋体" w:hAnsi="宋体" w:eastAsia="宋体" w:cs="宋体"/>
          <w:kern w:val="0"/>
          <w:sz w:val="24"/>
          <w:szCs w:val="24"/>
          <w:lang w:val="en-US" w:eastAsia="zh-CN" w:bidi="ar-SA"/>
        </w:rPr>
      </w:pPr>
      <w:r>
        <w:rPr>
          <w:rFonts w:hint="eastAsia" w:ascii="宋体" w:hAnsi="宋体" w:eastAsia="宋体" w:cs="宋体"/>
          <w:b/>
          <w:bCs/>
          <w:kern w:val="0"/>
          <w:sz w:val="24"/>
          <w:szCs w:val="24"/>
          <w:lang w:val="en-US" w:eastAsia="zh-CN" w:bidi="ar-SA"/>
        </w:rPr>
        <w:t>9、若本项目未通过公安备案，视为未完成本项目合同内容，甲方有权终止合同，合同款不予支付，其相关风险由投标服务商自行承担。</w:t>
      </w:r>
    </w:p>
    <w:p w14:paraId="74FAB8B9">
      <w:pPr>
        <w:snapToGrid w:val="0"/>
        <w:spacing w:line="500" w:lineRule="exact"/>
        <w:ind w:firstLine="482" w:firstLineChars="200"/>
        <w:rPr>
          <w:rFonts w:asciiTheme="minorEastAsia" w:hAnsiTheme="minorEastAsia"/>
          <w:b/>
          <w:sz w:val="24"/>
          <w:szCs w:val="24"/>
        </w:rPr>
      </w:pPr>
      <w:r>
        <w:rPr>
          <w:rFonts w:hint="eastAsia" w:asciiTheme="minorEastAsia" w:hAnsiTheme="minorEastAsia"/>
          <w:b/>
          <w:sz w:val="24"/>
          <w:szCs w:val="24"/>
        </w:rPr>
        <w:t>二、投标报价要求</w:t>
      </w:r>
    </w:p>
    <w:p w14:paraId="1596BC05">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1.供应商应仔细阅读谈判文件的所有内容，按谈判文件的要求提供谈判响应文件，并保证所提供的全部资料的真实性，以使其投标对谈判文件作出实质性响应。</w:t>
      </w:r>
    </w:p>
    <w:p w14:paraId="6206CD2E">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供应商报价应包括完成本项目全部服务所发生的费用，以及为完成本项目工作所必须的劳务费、编制费、差旅费、资料和数据收集与分析、利润、税金、保险、公安备案等所有相关费用。报价供应商报价时应充分考虑国家政策性调整等风险因素，在合同实施期间，合同价不随国家政策或法规、标准及市场因素的变化而进行调整。</w:t>
      </w:r>
    </w:p>
    <w:p w14:paraId="7EE17764">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3.谈判报价中的计价一律采用人民币。若大写与小写不一致，以大写为准。</w:t>
      </w:r>
    </w:p>
    <w:p w14:paraId="1C7F3D00">
      <w:pPr>
        <w:snapToGrid w:val="0"/>
        <w:spacing w:line="500" w:lineRule="exact"/>
        <w:ind w:firstLine="482" w:firstLineChars="200"/>
        <w:rPr>
          <w:rFonts w:asciiTheme="minorEastAsia" w:hAnsiTheme="minorEastAsia"/>
          <w:b/>
          <w:sz w:val="24"/>
          <w:szCs w:val="24"/>
        </w:rPr>
      </w:pPr>
      <w:r>
        <w:rPr>
          <w:rFonts w:hint="eastAsia" w:asciiTheme="minorEastAsia" w:hAnsiTheme="minorEastAsia"/>
          <w:b/>
          <w:sz w:val="24"/>
          <w:szCs w:val="24"/>
        </w:rPr>
        <w:t>三、付款方式</w:t>
      </w:r>
    </w:p>
    <w:p w14:paraId="26915CBB">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采购人在收到测评报告</w:t>
      </w:r>
      <w:r>
        <w:rPr>
          <w:rFonts w:hint="eastAsia" w:asciiTheme="minorEastAsia" w:hAnsiTheme="minorEastAsia"/>
          <w:sz w:val="24"/>
          <w:szCs w:val="24"/>
          <w:lang w:eastAsia="zh-CN"/>
        </w:rPr>
        <w:t>，</w:t>
      </w:r>
      <w:r>
        <w:rPr>
          <w:rFonts w:hint="eastAsia" w:asciiTheme="minorEastAsia" w:hAnsiTheme="minorEastAsia"/>
          <w:sz w:val="24"/>
          <w:szCs w:val="24"/>
        </w:rPr>
        <w:t>且年度合同期满后一个月内一次性付清。成交供应商应在付款前提供正式发票。</w:t>
      </w:r>
    </w:p>
    <w:p w14:paraId="0BAEC7A5">
      <w:pPr>
        <w:snapToGrid w:val="0"/>
        <w:spacing w:line="500" w:lineRule="exact"/>
        <w:ind w:firstLine="482" w:firstLineChars="200"/>
        <w:rPr>
          <w:rFonts w:asciiTheme="minorEastAsia" w:hAnsiTheme="minorEastAsia"/>
          <w:b/>
          <w:sz w:val="24"/>
          <w:szCs w:val="24"/>
        </w:rPr>
      </w:pPr>
      <w:r>
        <w:rPr>
          <w:rFonts w:hint="eastAsia" w:asciiTheme="minorEastAsia" w:hAnsiTheme="minorEastAsia"/>
          <w:b/>
          <w:sz w:val="24"/>
          <w:szCs w:val="24"/>
        </w:rPr>
        <w:t>四、履约保证金</w:t>
      </w:r>
    </w:p>
    <w:p w14:paraId="579AA0F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1. 被确定成交的供应商，必须在收到中标通知书后3日内向采购单位交纳履约保证金，金额为合同总金额的10%（提交方式：应当以数字人民币、银行转账、网银、电汇、支票、本票、汇票、银行保函、保险保函等形式提交）。履约保证金在供应商供货服务期完毕并验收合格后返还。合同履行过程中，如供应商违约的，招标单位有权在履约保证金中直接扣除相应的款项。</w:t>
      </w:r>
    </w:p>
    <w:p w14:paraId="655A6CA6">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2.发生以下情况的，履约保证金不予退还或部分退还：</w:t>
      </w:r>
    </w:p>
    <w:p w14:paraId="4D85676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a.签订合同后，成交供应商不履行合同义务的，采购单位有权全额扣除履约保证金，全额不予退还，同时采购单位亦有权终止合同，成交供应商还须承担相应的法律赔偿责任。</w:t>
      </w:r>
    </w:p>
    <w:p w14:paraId="1A5D19E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b.成交供应商在履约过程中发生违约行为，给采购单位造成损失的，采购单位有权在成交供应商缴纳的履约保证金中予以扣款，以弥补采购单位经济损失，不足的部分成交供应商另外补齐。</w:t>
      </w:r>
    </w:p>
    <w:p w14:paraId="668D252A">
      <w:pPr>
        <w:spacing w:line="500" w:lineRule="exact"/>
        <w:jc w:val="both"/>
        <w:rPr>
          <w:rFonts w:hint="eastAsia" w:ascii="宋体" w:hAnsi="宋体" w:eastAsia="宋体" w:cs="Times New Roman"/>
          <w:b/>
          <w:sz w:val="28"/>
          <w:szCs w:val="28"/>
        </w:rPr>
      </w:pPr>
    </w:p>
    <w:p w14:paraId="3EF9409C">
      <w:pPr>
        <w:spacing w:line="500" w:lineRule="exact"/>
        <w:jc w:val="center"/>
        <w:rPr>
          <w:rFonts w:ascii="宋体" w:hAnsi="Times New Roman" w:eastAsia="宋体" w:cs="Times New Roman"/>
          <w:b/>
          <w:sz w:val="24"/>
          <w:szCs w:val="24"/>
        </w:rPr>
      </w:pPr>
      <w:r>
        <w:rPr>
          <w:rFonts w:hint="eastAsia" w:ascii="宋体" w:hAnsi="宋体" w:eastAsia="宋体" w:cs="Times New Roman"/>
          <w:b/>
          <w:sz w:val="28"/>
          <w:szCs w:val="28"/>
        </w:rPr>
        <w:t>第四部分  评审方法和评审标准</w:t>
      </w:r>
    </w:p>
    <w:p w14:paraId="0EEA1D2E">
      <w:pPr>
        <w:snapToGrid w:val="0"/>
        <w:spacing w:line="500" w:lineRule="exact"/>
        <w:rPr>
          <w:rFonts w:asciiTheme="minorEastAsia" w:hAnsiTheme="minorEastAsia"/>
          <w:b/>
          <w:sz w:val="24"/>
          <w:szCs w:val="24"/>
        </w:rPr>
      </w:pPr>
      <w:r>
        <w:rPr>
          <w:rFonts w:hint="eastAsia" w:asciiTheme="minorEastAsia" w:hAnsiTheme="minorEastAsia"/>
          <w:b/>
          <w:sz w:val="24"/>
          <w:szCs w:val="24"/>
        </w:rPr>
        <w:t>一、谈判方式</w:t>
      </w:r>
    </w:p>
    <w:p w14:paraId="7300E412">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现场谈判，供应商按照谈判公告的要求参加谈判活动。</w:t>
      </w:r>
    </w:p>
    <w:p w14:paraId="2895CF9E">
      <w:pPr>
        <w:snapToGrid w:val="0"/>
        <w:spacing w:line="500" w:lineRule="exact"/>
        <w:rPr>
          <w:rFonts w:asciiTheme="minorEastAsia" w:hAnsiTheme="minorEastAsia"/>
          <w:b/>
          <w:sz w:val="24"/>
          <w:szCs w:val="24"/>
        </w:rPr>
      </w:pPr>
      <w:r>
        <w:rPr>
          <w:rFonts w:hint="eastAsia" w:asciiTheme="minorEastAsia" w:hAnsiTheme="minorEastAsia"/>
          <w:b/>
          <w:sz w:val="24"/>
          <w:szCs w:val="24"/>
        </w:rPr>
        <w:t>二、谈判程序及评审方法和标准</w:t>
      </w:r>
    </w:p>
    <w:p w14:paraId="6BC70A59">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采购代理机构现场打开供应商的响应文件，谈判小组对供应商的资格性、符合性进行审查，通过审查的供应商接受谈判小组的谈判，在质量和服务相等的前提下，最后报价最低者为成交供应商。</w:t>
      </w:r>
    </w:p>
    <w:p w14:paraId="1C644B03">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资格审查结束后进入最后报价环节，最后报价将作为评审价。所有的响应供应商须在20分钟内填写完毕并递交最后报价，未在规定时间内递交最后报价或超过第一次报价的，视作无效响应处理。</w:t>
      </w:r>
    </w:p>
    <w:p w14:paraId="41337BD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最后报价是供应商响应文件的有效组成部分，提交最后报价的供应商不得少于3家。</w:t>
      </w:r>
    </w:p>
    <w:p w14:paraId="4412EB3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各供应商最后报价结束后,如谈判小组认为最后报价最低的供应商的报价明显低于其自身成本，涉嫌恶意竞争，有可能影响服务质量和不能诚信履约的，则有权要求其在合理的时间内现场提供说明，必要时提交相关证明材料。若该供应商拒绝说明或未在规定期限内提供说明，或虽有书面说明但仍无法证明其报价合理性的，则谈判小组有权取消其谈判成交资格，按顺序由最后报价次低的供应商递补，以此类推。</w:t>
      </w:r>
    </w:p>
    <w:p w14:paraId="5CCCB921">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评委在认真审阅响应文件的基础上，根据各响应文件的响应程度独立评判。</w:t>
      </w:r>
    </w:p>
    <w:p w14:paraId="0350C3F9">
      <w:pPr>
        <w:snapToGrid w:val="0"/>
        <w:spacing w:line="500" w:lineRule="exact"/>
        <w:rPr>
          <w:rFonts w:asciiTheme="minorEastAsia" w:hAnsiTheme="minorEastAsia"/>
          <w:b/>
          <w:sz w:val="24"/>
          <w:szCs w:val="24"/>
        </w:rPr>
      </w:pPr>
      <w:r>
        <w:rPr>
          <w:rFonts w:hint="eastAsia" w:asciiTheme="minorEastAsia" w:hAnsiTheme="minorEastAsia"/>
          <w:b/>
          <w:sz w:val="24"/>
          <w:szCs w:val="24"/>
        </w:rPr>
        <w:t>（一）谈判小组对供应商资格进行审查</w:t>
      </w:r>
    </w:p>
    <w:p w14:paraId="50863E6C">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供应商资格不合格的，其响应文件判定为无效响应文件。</w:t>
      </w:r>
    </w:p>
    <w:p w14:paraId="0E63D3D8">
      <w:pPr>
        <w:snapToGrid w:val="0"/>
        <w:spacing w:line="500" w:lineRule="exact"/>
        <w:rPr>
          <w:rFonts w:asciiTheme="minorEastAsia" w:hAnsiTheme="minorEastAsia"/>
          <w:b/>
          <w:sz w:val="24"/>
          <w:szCs w:val="24"/>
        </w:rPr>
      </w:pPr>
      <w:r>
        <w:rPr>
          <w:rFonts w:hint="eastAsia" w:asciiTheme="minorEastAsia" w:hAnsiTheme="minorEastAsia"/>
          <w:b/>
          <w:sz w:val="24"/>
          <w:szCs w:val="24"/>
        </w:rPr>
        <w:t>（二）谈判小组对符合资格要求的供应商的响应文件进行符合性审查</w:t>
      </w:r>
    </w:p>
    <w:p w14:paraId="3DFE9757">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未通过符合性审查的响应文件，将被判为不满足谈判文件实质性要求。</w:t>
      </w:r>
    </w:p>
    <w:p w14:paraId="1805DDC6">
      <w:pPr>
        <w:snapToGrid w:val="0"/>
        <w:spacing w:line="500" w:lineRule="exact"/>
        <w:rPr>
          <w:rFonts w:asciiTheme="minorEastAsia" w:hAnsiTheme="minorEastAsia"/>
          <w:b/>
          <w:sz w:val="24"/>
          <w:szCs w:val="24"/>
        </w:rPr>
      </w:pPr>
      <w:r>
        <w:rPr>
          <w:rFonts w:hint="eastAsia" w:asciiTheme="minorEastAsia" w:hAnsiTheme="minorEastAsia"/>
          <w:b/>
          <w:sz w:val="24"/>
          <w:szCs w:val="24"/>
        </w:rPr>
        <w:t>（三）成交供应商的确定</w:t>
      </w:r>
    </w:p>
    <w:p w14:paraId="1E13E878">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谈判小组将从质量和服务均能满足采购文件实质性响应要求的供应商中，按照最后报价由低到高顺序推荐1名成交候选供应商，并编写评审报告。</w:t>
      </w:r>
    </w:p>
    <w:p w14:paraId="3E7647E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采购人从评审报告提出的成交候选供应商中，根据质量和服务均能满足采购文件实质性响应要求且最后报价最低的原则确定成交供应商。</w:t>
      </w:r>
    </w:p>
    <w:p w14:paraId="1D3D40F0">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采购人委托谈判小组直接确定排名第一的成交候选人为成交供应商。若报价相同时则通过抽签方式随机确定排名顺序。</w:t>
      </w:r>
    </w:p>
    <w:p w14:paraId="2D265A7B">
      <w:pPr>
        <w:snapToGrid w:val="0"/>
        <w:spacing w:line="500" w:lineRule="exact"/>
        <w:rPr>
          <w:rFonts w:asciiTheme="minorEastAsia" w:hAnsiTheme="minorEastAsia"/>
          <w:b/>
          <w:sz w:val="24"/>
          <w:szCs w:val="24"/>
        </w:rPr>
      </w:pPr>
      <w:r>
        <w:rPr>
          <w:rFonts w:hint="eastAsia" w:asciiTheme="minorEastAsia" w:hAnsiTheme="minorEastAsia"/>
          <w:b/>
          <w:sz w:val="24"/>
          <w:szCs w:val="24"/>
        </w:rPr>
        <w:t>（四）采购</w:t>
      </w:r>
      <w:r>
        <w:rPr>
          <w:rFonts w:hint="eastAsia" w:asciiTheme="minorEastAsia" w:hAnsiTheme="minorEastAsia"/>
          <w:b/>
          <w:sz w:val="24"/>
          <w:szCs w:val="24"/>
          <w:lang w:val="en-US" w:eastAsia="zh-CN"/>
        </w:rPr>
        <w:t>人</w:t>
      </w:r>
      <w:r>
        <w:rPr>
          <w:rFonts w:hint="eastAsia" w:asciiTheme="minorEastAsia" w:hAnsiTheme="minorEastAsia"/>
          <w:b/>
          <w:sz w:val="24"/>
          <w:szCs w:val="24"/>
        </w:rPr>
        <w:t>宣布评审结果</w:t>
      </w:r>
    </w:p>
    <w:p w14:paraId="6D8E44B3">
      <w:pPr>
        <w:snapToGrid w:val="0"/>
        <w:spacing w:line="500" w:lineRule="exact"/>
        <w:rPr>
          <w:rFonts w:asciiTheme="minorEastAsia" w:hAnsiTheme="minorEastAsia"/>
          <w:b/>
          <w:sz w:val="24"/>
          <w:szCs w:val="24"/>
        </w:rPr>
      </w:pPr>
      <w:r>
        <w:rPr>
          <w:rFonts w:hint="eastAsia" w:asciiTheme="minorEastAsia" w:hAnsiTheme="minorEastAsia"/>
          <w:b/>
          <w:sz w:val="24"/>
          <w:szCs w:val="24"/>
        </w:rPr>
        <w:t>（五）公告成交结果</w:t>
      </w:r>
    </w:p>
    <w:p w14:paraId="1AF63D7D">
      <w:pPr>
        <w:snapToGrid w:val="0"/>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自确定成交供应商之日起2个工作日内，在</w:t>
      </w:r>
      <w:r>
        <w:rPr>
          <w:rFonts w:hint="eastAsia" w:cs="宋体" w:asciiTheme="minorEastAsia" w:hAnsiTheme="minorEastAsia"/>
          <w:kern w:val="0"/>
          <w:sz w:val="24"/>
          <w:szCs w:val="24"/>
        </w:rPr>
        <w:t>启东市自来水厂有限公司</w:t>
      </w:r>
      <w:r>
        <w:rPr>
          <w:rFonts w:hint="eastAsia" w:asciiTheme="minorEastAsia" w:hAnsiTheme="minorEastAsia"/>
          <w:sz w:val="24"/>
          <w:szCs w:val="24"/>
        </w:rPr>
        <w:t>网站公告成交结果，公告期限为1个工作日。</w:t>
      </w:r>
    </w:p>
    <w:p w14:paraId="06862CC1">
      <w:pPr>
        <w:snapToGrid w:val="0"/>
        <w:spacing w:line="500" w:lineRule="exact"/>
        <w:rPr>
          <w:rFonts w:asciiTheme="minorEastAsia" w:hAnsiTheme="minorEastAsia"/>
          <w:b/>
          <w:sz w:val="24"/>
          <w:szCs w:val="24"/>
        </w:rPr>
      </w:pPr>
      <w:r>
        <w:rPr>
          <w:rFonts w:hint="eastAsia" w:asciiTheme="minorEastAsia" w:hAnsiTheme="minorEastAsia"/>
          <w:b/>
          <w:sz w:val="24"/>
          <w:szCs w:val="24"/>
        </w:rPr>
        <w:t>（六）发放成交通知书</w:t>
      </w:r>
    </w:p>
    <w:p w14:paraId="71F24D1B">
      <w:pPr>
        <w:snapToGrid w:val="0"/>
        <w:spacing w:line="500" w:lineRule="exact"/>
        <w:ind w:firstLine="480" w:firstLineChars="200"/>
        <w:rPr>
          <w:rFonts w:asciiTheme="minorEastAsia" w:hAnsiTheme="minorEastAsia"/>
          <w:sz w:val="24"/>
          <w:szCs w:val="24"/>
        </w:rPr>
      </w:pPr>
      <w:r>
        <w:rPr>
          <w:rFonts w:asciiTheme="minorEastAsia" w:hAnsiTheme="minorEastAsia"/>
          <w:sz w:val="24"/>
          <w:szCs w:val="24"/>
        </w:rPr>
        <w:t>公告成交结果的同时，</w:t>
      </w:r>
      <w:r>
        <w:rPr>
          <w:rFonts w:hint="eastAsia" w:asciiTheme="minorEastAsia" w:hAnsiTheme="minorEastAsia"/>
          <w:sz w:val="24"/>
          <w:szCs w:val="24"/>
        </w:rPr>
        <w:t>采购人</w:t>
      </w:r>
      <w:r>
        <w:rPr>
          <w:rFonts w:asciiTheme="minorEastAsia" w:hAnsiTheme="minorEastAsia"/>
          <w:bCs/>
          <w:sz w:val="24"/>
          <w:szCs w:val="24"/>
        </w:rPr>
        <w:t>向成交供应商发放成交通知书</w:t>
      </w:r>
      <w:r>
        <w:rPr>
          <w:rFonts w:hint="eastAsia" w:asciiTheme="minorEastAsia" w:hAnsiTheme="minorEastAsia"/>
          <w:sz w:val="24"/>
          <w:szCs w:val="24"/>
        </w:rPr>
        <w:t>。</w:t>
      </w:r>
    </w:p>
    <w:p w14:paraId="38CD3493">
      <w:pPr>
        <w:snapToGrid w:val="0"/>
        <w:spacing w:line="500" w:lineRule="exact"/>
        <w:ind w:firstLine="480" w:firstLineChars="200"/>
        <w:rPr>
          <w:rFonts w:asciiTheme="minorEastAsia" w:hAnsiTheme="minorEastAsia"/>
          <w:sz w:val="28"/>
          <w:szCs w:val="28"/>
        </w:rPr>
      </w:pPr>
      <w:r>
        <w:rPr>
          <w:rFonts w:hint="eastAsia" w:asciiTheme="minorEastAsia" w:hAnsiTheme="minorEastAsia"/>
          <w:sz w:val="24"/>
          <w:szCs w:val="24"/>
        </w:rPr>
        <w:t>成交通知书发出后，采购人不得违法改变成交结果，成交供应商无正当理由不得放弃成交。</w:t>
      </w:r>
    </w:p>
    <w:p w14:paraId="717E8425">
      <w:pPr>
        <w:snapToGrid w:val="0"/>
        <w:spacing w:line="500" w:lineRule="exact"/>
        <w:ind w:firstLine="560" w:firstLineChars="200"/>
        <w:rPr>
          <w:rFonts w:asciiTheme="minorEastAsia" w:hAnsiTheme="minorEastAsia"/>
          <w:sz w:val="28"/>
          <w:szCs w:val="28"/>
        </w:rPr>
      </w:pPr>
      <w:r>
        <w:rPr>
          <w:rFonts w:hint="eastAsia" w:asciiTheme="minorEastAsia" w:hAnsiTheme="minorEastAsia"/>
          <w:sz w:val="28"/>
          <w:szCs w:val="28"/>
        </w:rPr>
        <w:t> </w:t>
      </w:r>
    </w:p>
    <w:p w14:paraId="5B6EF9D3">
      <w:pPr>
        <w:snapToGrid w:val="0"/>
        <w:spacing w:line="500" w:lineRule="exact"/>
        <w:ind w:firstLine="420" w:firstLineChars="150"/>
        <w:rPr>
          <w:rFonts w:asciiTheme="minorEastAsia" w:hAnsiTheme="minorEastAsia"/>
          <w:sz w:val="28"/>
          <w:szCs w:val="28"/>
        </w:rPr>
      </w:pPr>
    </w:p>
    <w:p w14:paraId="4458DE68">
      <w:pPr>
        <w:snapToGrid w:val="0"/>
        <w:spacing w:line="500" w:lineRule="exact"/>
        <w:ind w:firstLine="420" w:firstLineChars="150"/>
        <w:rPr>
          <w:rFonts w:asciiTheme="minorEastAsia" w:hAnsiTheme="minorEastAsia"/>
          <w:sz w:val="28"/>
          <w:szCs w:val="28"/>
        </w:rPr>
      </w:pPr>
    </w:p>
    <w:p w14:paraId="53102F9D">
      <w:pPr>
        <w:pStyle w:val="2"/>
        <w:ind w:firstLine="0"/>
      </w:pPr>
    </w:p>
    <w:p w14:paraId="7941B897"/>
    <w:p w14:paraId="2CE5B182">
      <w:pPr>
        <w:pStyle w:val="2"/>
      </w:pPr>
    </w:p>
    <w:p w14:paraId="6FADDD37"/>
    <w:p w14:paraId="63D80961">
      <w:pPr>
        <w:pStyle w:val="2"/>
      </w:pPr>
    </w:p>
    <w:p w14:paraId="144AE193"/>
    <w:p w14:paraId="6806E6F7">
      <w:pPr>
        <w:pStyle w:val="2"/>
      </w:pPr>
    </w:p>
    <w:p w14:paraId="28433AE0"/>
    <w:p w14:paraId="599D9FF7">
      <w:pPr>
        <w:pStyle w:val="2"/>
      </w:pPr>
    </w:p>
    <w:p w14:paraId="6E195D11"/>
    <w:p w14:paraId="7C017CCA">
      <w:pPr>
        <w:pStyle w:val="2"/>
      </w:pPr>
    </w:p>
    <w:p w14:paraId="47F65259"/>
    <w:p w14:paraId="6C0F44F3">
      <w:pPr>
        <w:pStyle w:val="2"/>
      </w:pPr>
    </w:p>
    <w:p w14:paraId="0CAB07BE">
      <w:pPr>
        <w:snapToGrid w:val="0"/>
        <w:spacing w:line="500" w:lineRule="exact"/>
        <w:rPr>
          <w:rFonts w:asciiTheme="minorEastAsia" w:hAnsiTheme="minorEastAsia"/>
          <w:b/>
          <w:sz w:val="28"/>
          <w:szCs w:val="28"/>
        </w:rPr>
      </w:pPr>
    </w:p>
    <w:p w14:paraId="4A2CC9CD">
      <w:pPr>
        <w:snapToGrid w:val="0"/>
        <w:spacing w:line="500" w:lineRule="exact"/>
        <w:ind w:firstLine="422" w:firstLineChars="150"/>
        <w:jc w:val="center"/>
        <w:rPr>
          <w:rFonts w:asciiTheme="minorEastAsia" w:hAnsiTheme="minorEastAsia"/>
          <w:b/>
          <w:sz w:val="28"/>
          <w:szCs w:val="28"/>
        </w:rPr>
      </w:pPr>
    </w:p>
    <w:p w14:paraId="0ECC1289">
      <w:pPr>
        <w:snapToGrid w:val="0"/>
        <w:spacing w:line="500" w:lineRule="exact"/>
        <w:ind w:firstLine="422" w:firstLineChars="150"/>
        <w:jc w:val="center"/>
        <w:rPr>
          <w:rFonts w:asciiTheme="minorEastAsia" w:hAnsiTheme="minorEastAsia"/>
          <w:b/>
          <w:sz w:val="28"/>
          <w:szCs w:val="28"/>
        </w:rPr>
      </w:pPr>
    </w:p>
    <w:p w14:paraId="79B39159">
      <w:pPr>
        <w:snapToGrid w:val="0"/>
        <w:spacing w:line="500" w:lineRule="exact"/>
        <w:ind w:firstLine="422" w:firstLineChars="150"/>
        <w:jc w:val="center"/>
        <w:rPr>
          <w:rFonts w:asciiTheme="minorEastAsia" w:hAnsiTheme="minorEastAsia"/>
          <w:b/>
          <w:sz w:val="28"/>
          <w:szCs w:val="28"/>
        </w:rPr>
      </w:pPr>
    </w:p>
    <w:p w14:paraId="7D7566F9">
      <w:pPr>
        <w:snapToGrid w:val="0"/>
        <w:spacing w:line="500" w:lineRule="exact"/>
        <w:ind w:firstLine="422" w:firstLineChars="150"/>
        <w:jc w:val="center"/>
        <w:rPr>
          <w:rFonts w:asciiTheme="minorEastAsia" w:hAnsiTheme="minorEastAsia"/>
          <w:b/>
          <w:sz w:val="28"/>
          <w:szCs w:val="28"/>
        </w:rPr>
      </w:pPr>
    </w:p>
    <w:p w14:paraId="42B69779">
      <w:pPr>
        <w:snapToGrid w:val="0"/>
        <w:spacing w:line="500" w:lineRule="exact"/>
        <w:ind w:firstLine="422" w:firstLineChars="150"/>
        <w:jc w:val="center"/>
        <w:rPr>
          <w:rFonts w:asciiTheme="minorEastAsia" w:hAnsiTheme="minorEastAsia"/>
          <w:b/>
          <w:sz w:val="28"/>
          <w:szCs w:val="28"/>
        </w:rPr>
      </w:pPr>
    </w:p>
    <w:p w14:paraId="7AE0BD31">
      <w:pPr>
        <w:snapToGrid w:val="0"/>
        <w:spacing w:line="500" w:lineRule="exact"/>
        <w:rPr>
          <w:rFonts w:asciiTheme="minorEastAsia" w:hAnsiTheme="minorEastAsia"/>
          <w:b/>
          <w:sz w:val="28"/>
          <w:szCs w:val="28"/>
        </w:rPr>
      </w:pPr>
    </w:p>
    <w:p w14:paraId="26C2D4D0">
      <w:pPr>
        <w:snapToGrid w:val="0"/>
        <w:spacing w:line="500" w:lineRule="exact"/>
        <w:ind w:firstLine="422" w:firstLineChars="150"/>
        <w:jc w:val="center"/>
        <w:rPr>
          <w:rFonts w:asciiTheme="minorEastAsia" w:hAnsiTheme="minorEastAsia"/>
          <w:b/>
          <w:sz w:val="28"/>
          <w:szCs w:val="28"/>
        </w:rPr>
      </w:pPr>
      <w:r>
        <w:rPr>
          <w:rFonts w:hint="eastAsia" w:asciiTheme="minorEastAsia" w:hAnsiTheme="minorEastAsia"/>
          <w:b/>
          <w:sz w:val="28"/>
          <w:szCs w:val="28"/>
        </w:rPr>
        <w:t>第五部分  响应文件组成</w:t>
      </w:r>
    </w:p>
    <w:p w14:paraId="3C1E2AE6">
      <w:pPr>
        <w:snapToGrid w:val="0"/>
        <w:spacing w:beforeLines="50"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响应文件由资格审查证明材料、价格标二部分组成。</w:t>
      </w:r>
    </w:p>
    <w:p w14:paraId="6CE3E199">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一、资格审查证明材料（不能出现价格文件）</w:t>
      </w:r>
    </w:p>
    <w:p w14:paraId="457E41E1">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1.竞谈承诺书（按照附件一格式填写）；</w:t>
      </w:r>
    </w:p>
    <w:p w14:paraId="7617A24C">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2.法定代表人授权委托书及被授权人身份证正反面复印件（法定代表人授权委托书按照附件二格式填写，法定代表人亲自参加的，无需提供授权委托书；非法定代表人参加投标时提交）；</w:t>
      </w:r>
    </w:p>
    <w:p w14:paraId="759F0000">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3.法定代表人身份证正反面复印件（无论法定代表人是否亲自参加谈判均需提供本项材料）；</w:t>
      </w:r>
    </w:p>
    <w:p w14:paraId="369620C0">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4.有效的企业法人营业执照复印件；</w:t>
      </w:r>
    </w:p>
    <w:p w14:paraId="2C8A38E5">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5.有效的网络安全等级测评与检测评估机构服务认证证书复印件；</w:t>
      </w:r>
    </w:p>
    <w:p w14:paraId="4465AC97">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6.供应商参加政府采购活动前3年内在经营活动中没有重大违法记录和失信记录的书面声明（按照附件三格式填写）；</w:t>
      </w:r>
    </w:p>
    <w:p w14:paraId="660CB6AA">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7.未被“信用中国”网站列入失信被执行人、重大税收违法案件当事人名单、政府采购严重失信行为记录名单（网络截图复印件，加盖公章）。</w:t>
      </w:r>
    </w:p>
    <w:p w14:paraId="259DEF56">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注意：上述要求提供复印件的均需加盖单位公章，否则资格审查不通过。</w:t>
      </w:r>
    </w:p>
    <w:p w14:paraId="19DB0371">
      <w:pPr>
        <w:snapToGrid w:val="0"/>
        <w:spacing w:line="500" w:lineRule="exact"/>
        <w:ind w:firstLine="482" w:firstLineChars="200"/>
        <w:jc w:val="left"/>
        <w:rPr>
          <w:rFonts w:asciiTheme="minorEastAsia" w:hAnsiTheme="minorEastAsia"/>
          <w:b/>
          <w:sz w:val="24"/>
          <w:szCs w:val="24"/>
        </w:rPr>
      </w:pPr>
      <w:r>
        <w:rPr>
          <w:rFonts w:hint="eastAsia" w:asciiTheme="minorEastAsia" w:hAnsiTheme="minorEastAsia"/>
          <w:b/>
          <w:sz w:val="24"/>
          <w:szCs w:val="24"/>
        </w:rPr>
        <w:t>二、价格标</w:t>
      </w:r>
    </w:p>
    <w:p w14:paraId="7A1C6634">
      <w:pPr>
        <w:snapToGrid w:val="0"/>
        <w:spacing w:line="500" w:lineRule="exact"/>
        <w:ind w:firstLine="480" w:firstLineChars="200"/>
        <w:jc w:val="left"/>
        <w:rPr>
          <w:rFonts w:asciiTheme="minorEastAsia" w:hAnsiTheme="minorEastAsia"/>
          <w:sz w:val="24"/>
          <w:szCs w:val="24"/>
        </w:rPr>
      </w:pPr>
      <w:r>
        <w:rPr>
          <w:rFonts w:hint="eastAsia" w:asciiTheme="minorEastAsia" w:hAnsiTheme="minorEastAsia"/>
          <w:sz w:val="24"/>
          <w:szCs w:val="24"/>
        </w:rPr>
        <w:t>1.谈判报价表（按照附件四格式填写）；</w:t>
      </w:r>
    </w:p>
    <w:p w14:paraId="06195292">
      <w:pPr>
        <w:snapToGrid w:val="0"/>
        <w:spacing w:line="500" w:lineRule="exact"/>
        <w:ind w:firstLine="480" w:firstLineChars="200"/>
        <w:jc w:val="left"/>
        <w:rPr>
          <w:rFonts w:asciiTheme="minorEastAsia" w:hAnsiTheme="minorEastAsia"/>
          <w:color w:val="FF0000"/>
          <w:sz w:val="24"/>
          <w:szCs w:val="24"/>
        </w:rPr>
      </w:pPr>
      <w:r>
        <w:rPr>
          <w:rFonts w:hint="eastAsia" w:asciiTheme="minorEastAsia" w:hAnsiTheme="minorEastAsia"/>
          <w:sz w:val="24"/>
          <w:szCs w:val="24"/>
        </w:rPr>
        <w:t>2.最后报价一览表（按照附件五格式填写），</w:t>
      </w:r>
      <w:r>
        <w:rPr>
          <w:rFonts w:hint="eastAsia" w:ascii="宋体" w:hAnsi="宋体" w:eastAsia="宋体" w:cs="Times New Roman"/>
          <w:b/>
          <w:bCs/>
          <w:color w:val="000000" w:themeColor="text1"/>
          <w:sz w:val="24"/>
          <w:szCs w:val="24"/>
        </w:rPr>
        <w:t>供应商可按以上格式制作“最后报价一览表”，提前加盖公章，须在开标现场填写最后报价。</w:t>
      </w:r>
    </w:p>
    <w:p w14:paraId="1E160024">
      <w:pPr>
        <w:snapToGrid w:val="0"/>
        <w:spacing w:line="500" w:lineRule="exact"/>
        <w:rPr>
          <w:rFonts w:asciiTheme="minorEastAsia" w:hAnsiTheme="minorEastAsia"/>
          <w:sz w:val="28"/>
          <w:szCs w:val="28"/>
        </w:rPr>
      </w:pPr>
    </w:p>
    <w:p w14:paraId="5E23A2B4">
      <w:pPr>
        <w:pStyle w:val="2"/>
      </w:pPr>
    </w:p>
    <w:p w14:paraId="0D74F73B"/>
    <w:p w14:paraId="49040078">
      <w:pPr>
        <w:snapToGrid w:val="0"/>
        <w:spacing w:line="500" w:lineRule="exact"/>
        <w:rPr>
          <w:rFonts w:asciiTheme="minorEastAsia" w:hAnsiTheme="minorEastAsia"/>
          <w:sz w:val="28"/>
          <w:szCs w:val="28"/>
        </w:rPr>
      </w:pPr>
    </w:p>
    <w:p w14:paraId="2CEFE6A5"/>
    <w:p w14:paraId="6664D41F">
      <w:pPr>
        <w:pStyle w:val="2"/>
      </w:pPr>
    </w:p>
    <w:p w14:paraId="4795CCE0"/>
    <w:p w14:paraId="0A9AECA1">
      <w:pPr>
        <w:pStyle w:val="2"/>
      </w:pPr>
    </w:p>
    <w:p w14:paraId="021923D8">
      <w:pPr>
        <w:pStyle w:val="2"/>
      </w:pPr>
    </w:p>
    <w:p w14:paraId="7181A651">
      <w:pPr>
        <w:spacing w:line="500" w:lineRule="exact"/>
        <w:rPr>
          <w:rFonts w:hint="eastAsia" w:ascii="宋体" w:hAnsi="宋体" w:eastAsia="宋体" w:cs="Times New Roman"/>
          <w:sz w:val="28"/>
          <w:szCs w:val="28"/>
        </w:rPr>
      </w:pPr>
    </w:p>
    <w:p w14:paraId="2EA3EBD9">
      <w:pPr>
        <w:spacing w:line="500" w:lineRule="exact"/>
        <w:rPr>
          <w:rFonts w:ascii="宋体" w:hAnsi="宋体" w:eastAsia="宋体" w:cs="Times New Roman"/>
          <w:sz w:val="28"/>
          <w:szCs w:val="28"/>
        </w:rPr>
      </w:pPr>
      <w:bookmarkStart w:id="0" w:name="_GoBack"/>
      <w:bookmarkEnd w:id="0"/>
      <w:r>
        <w:rPr>
          <w:rFonts w:hint="eastAsia" w:ascii="宋体" w:hAnsi="宋体" w:eastAsia="宋体" w:cs="Times New Roman"/>
          <w:sz w:val="28"/>
          <w:szCs w:val="28"/>
        </w:rPr>
        <w:t>附件一：</w:t>
      </w:r>
    </w:p>
    <w:p w14:paraId="26F7F80E">
      <w:pPr>
        <w:spacing w:line="500" w:lineRule="exact"/>
        <w:ind w:firstLine="643" w:firstLineChars="200"/>
        <w:jc w:val="center"/>
        <w:rPr>
          <w:rFonts w:ascii="宋体" w:hAnsi="宋体" w:eastAsia="宋体" w:cs="Times New Roman"/>
          <w:sz w:val="28"/>
          <w:szCs w:val="28"/>
          <w:shd w:val="clear" w:color="auto" w:fill="FFFFFF"/>
        </w:rPr>
      </w:pPr>
      <w:r>
        <w:rPr>
          <w:rFonts w:hint="eastAsia" w:ascii="宋体" w:hAnsi="宋体" w:eastAsia="宋体" w:cs="Times New Roman"/>
          <w:b/>
          <w:sz w:val="32"/>
          <w:szCs w:val="32"/>
        </w:rPr>
        <w:t>竞谈承诺书</w:t>
      </w:r>
    </w:p>
    <w:p w14:paraId="6280F177">
      <w:pPr>
        <w:widowControl/>
        <w:spacing w:line="500" w:lineRule="exact"/>
        <w:jc w:val="left"/>
        <w:rPr>
          <w:rFonts w:ascii="宋体" w:hAnsi="宋体" w:eastAsia="宋体" w:cs="Times New Roman"/>
          <w:spacing w:val="-11"/>
          <w:sz w:val="24"/>
          <w:szCs w:val="24"/>
          <w:u w:val="single"/>
          <w:shd w:val="clear" w:color="auto" w:fill="FFFFFF"/>
        </w:rPr>
      </w:pPr>
      <w:r>
        <w:rPr>
          <w:rFonts w:hint="eastAsia" w:ascii="宋体" w:hAnsi="宋体" w:eastAsia="宋体" w:cs="Times New Roman"/>
          <w:spacing w:val="-11"/>
          <w:sz w:val="24"/>
          <w:szCs w:val="24"/>
          <w:u w:val="single"/>
          <w:shd w:val="clear" w:color="auto" w:fill="FFFFFF"/>
        </w:rPr>
        <w:t>启东市自来水厂有限公司：</w:t>
      </w:r>
    </w:p>
    <w:p w14:paraId="19C79D38">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我们已收到你们关于</w:t>
      </w:r>
      <w:r>
        <w:rPr>
          <w:rFonts w:hint="eastAsia" w:ascii="宋体" w:hAnsi="宋体" w:eastAsia="宋体" w:cs="Times New Roman"/>
          <w:sz w:val="24"/>
          <w:szCs w:val="24"/>
          <w:u w:val="single"/>
          <w:shd w:val="clear" w:color="auto" w:fill="FFFFFF"/>
        </w:rPr>
        <w:t>启东市自来水厂有限公司</w:t>
      </w:r>
      <w:r>
        <w:rPr>
          <w:rFonts w:hint="eastAsia" w:ascii="宋体" w:hAnsi="宋体" w:eastAsia="宋体" w:cs="Times New Roman"/>
          <w:sz w:val="24"/>
          <w:szCs w:val="24"/>
          <w:u w:val="single"/>
          <w:shd w:val="clear" w:color="auto" w:fill="FFFFFF"/>
          <w:lang w:eastAsia="zh-CN"/>
        </w:rPr>
        <w:t>2025-2026</w:t>
      </w:r>
      <w:r>
        <w:rPr>
          <w:rFonts w:hint="eastAsia" w:ascii="宋体" w:hAnsi="宋体" w:eastAsia="宋体" w:cs="Times New Roman"/>
          <w:sz w:val="24"/>
          <w:szCs w:val="24"/>
          <w:u w:val="single"/>
          <w:shd w:val="clear" w:color="auto" w:fill="FFFFFF"/>
        </w:rPr>
        <w:t>年度收费系统、集抄平台的三级等保测评项目</w:t>
      </w:r>
      <w:r>
        <w:rPr>
          <w:rFonts w:hint="eastAsia" w:ascii="宋体" w:hAnsi="宋体" w:eastAsia="宋体" w:cs="Times New Roman"/>
          <w:sz w:val="24"/>
          <w:szCs w:val="24"/>
          <w:shd w:val="clear" w:color="auto" w:fill="FFFFFF"/>
        </w:rPr>
        <w:t>的谈判文件，经仔细阅读研究，我们决定参加投标，并作如下承诺：</w:t>
      </w:r>
    </w:p>
    <w:p w14:paraId="7A9E95F2">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1.愿意按照谈判文件的一切要求，参与投标。</w:t>
      </w:r>
    </w:p>
    <w:p w14:paraId="395DF17F">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2.我方的谈判响应文件自开标后60天内有效。</w:t>
      </w:r>
    </w:p>
    <w:p w14:paraId="4E8235BD">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3.如果我们的谈判响应文件被接受，我们将严格履行谈判文件中规定的每一项要求，按期、按质、按量履行义务。</w:t>
      </w:r>
    </w:p>
    <w:p w14:paraId="138E52EE">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4.我们愿意提供在谈判文件中要求的所有服务。</w:t>
      </w:r>
    </w:p>
    <w:p w14:paraId="76EA4AB9">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5.我们同意你们的确定成交供应商的方式。</w:t>
      </w:r>
    </w:p>
    <w:p w14:paraId="7AE3026A">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6.如被确定为成交供应商，愿意在签订合同前向采购人交纳履约保证金，如无法按期完成服务，采购人可对履约保证金作不予退还处理并报相关部门予以处罚；如逾期完成合同任务，采购人可按谈判文件予以处理。</w:t>
      </w:r>
    </w:p>
    <w:p w14:paraId="0CE1512B">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8.有关谈判事项的函电，请按下列方式联系：</w:t>
      </w:r>
    </w:p>
    <w:p w14:paraId="56163A61">
      <w:pPr>
        <w:pStyle w:val="2"/>
      </w:pPr>
    </w:p>
    <w:p w14:paraId="67BEB2CB">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单位：  邮编： 电话：</w:t>
      </w:r>
    </w:p>
    <w:p w14:paraId="617F6857">
      <w:pPr>
        <w:widowControl/>
        <w:spacing w:line="500" w:lineRule="exact"/>
        <w:ind w:firstLine="480" w:firstLineChars="200"/>
        <w:jc w:val="left"/>
        <w:rPr>
          <w:rFonts w:ascii="宋体" w:hAnsi="宋体" w:eastAsia="宋体" w:cs="Times New Roman"/>
          <w:sz w:val="24"/>
          <w:szCs w:val="24"/>
          <w:u w:val="single"/>
          <w:shd w:val="clear" w:color="auto" w:fill="FFFFFF"/>
        </w:rPr>
      </w:pPr>
      <w:r>
        <w:rPr>
          <w:rFonts w:hint="eastAsia" w:ascii="宋体" w:hAnsi="宋体" w:eastAsia="宋体" w:cs="Times New Roman"/>
          <w:sz w:val="24"/>
          <w:szCs w:val="24"/>
          <w:shd w:val="clear" w:color="auto" w:fill="FFFFFF"/>
        </w:rPr>
        <w:t>传真：  联系人： 地址：</w:t>
      </w:r>
    </w:p>
    <w:p w14:paraId="2848C48A">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供应商（盖章）：</w:t>
      </w:r>
    </w:p>
    <w:p w14:paraId="60CA8CD1">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法定代表人（签字或盖章）：</w:t>
      </w:r>
    </w:p>
    <w:p w14:paraId="7A3CFE9B">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受托代理人（签字或盖章）：</w:t>
      </w:r>
    </w:p>
    <w:p w14:paraId="3AD9184F">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时间：   年  月  日</w:t>
      </w:r>
    </w:p>
    <w:p w14:paraId="2BBF1047">
      <w:pPr>
        <w:spacing w:line="500" w:lineRule="exact"/>
        <w:rPr>
          <w:rFonts w:ascii="宋体" w:hAnsi="宋体" w:eastAsia="宋体" w:cs="Times New Roman"/>
          <w:sz w:val="28"/>
          <w:szCs w:val="28"/>
        </w:rPr>
      </w:pPr>
    </w:p>
    <w:p w14:paraId="61985471">
      <w:pPr>
        <w:spacing w:line="500" w:lineRule="exact"/>
        <w:rPr>
          <w:rFonts w:ascii="宋体" w:hAnsi="宋体" w:eastAsia="宋体" w:cs="Times New Roman"/>
          <w:sz w:val="28"/>
          <w:szCs w:val="28"/>
        </w:rPr>
      </w:pPr>
    </w:p>
    <w:p w14:paraId="1ADF4C2A">
      <w:pPr>
        <w:pStyle w:val="2"/>
      </w:pPr>
    </w:p>
    <w:p w14:paraId="416A414B"/>
    <w:p w14:paraId="0065C98B">
      <w:pPr>
        <w:pStyle w:val="2"/>
      </w:pPr>
    </w:p>
    <w:p w14:paraId="3F66F419"/>
    <w:p w14:paraId="0A27F644">
      <w:pPr>
        <w:spacing w:line="500" w:lineRule="exact"/>
        <w:rPr>
          <w:rFonts w:hint="eastAsia" w:ascii="宋体" w:hAnsi="宋体" w:eastAsia="宋体" w:cs="Times New Roman"/>
          <w:sz w:val="28"/>
          <w:szCs w:val="28"/>
        </w:rPr>
      </w:pPr>
    </w:p>
    <w:p w14:paraId="63756A97">
      <w:pPr>
        <w:spacing w:line="500" w:lineRule="exact"/>
        <w:rPr>
          <w:rFonts w:ascii="宋体" w:hAnsi="宋体" w:eastAsia="宋体" w:cs="Times New Roman"/>
          <w:sz w:val="28"/>
          <w:szCs w:val="28"/>
        </w:rPr>
      </w:pPr>
      <w:r>
        <w:rPr>
          <w:rFonts w:hint="eastAsia" w:ascii="宋体" w:hAnsi="宋体" w:eastAsia="宋体" w:cs="Times New Roman"/>
          <w:sz w:val="28"/>
          <w:szCs w:val="28"/>
        </w:rPr>
        <w:t>附件二：</w:t>
      </w:r>
    </w:p>
    <w:p w14:paraId="756C081A">
      <w:pPr>
        <w:spacing w:line="500" w:lineRule="exact"/>
        <w:rPr>
          <w:rFonts w:ascii="宋体" w:hAnsi="宋体" w:eastAsia="宋体" w:cs="Times New Roman"/>
          <w:sz w:val="28"/>
          <w:szCs w:val="28"/>
        </w:rPr>
      </w:pPr>
    </w:p>
    <w:p w14:paraId="59119170">
      <w:pPr>
        <w:spacing w:line="500" w:lineRule="exact"/>
        <w:ind w:firstLine="643" w:firstLineChars="200"/>
        <w:jc w:val="center"/>
        <w:rPr>
          <w:rFonts w:ascii="宋体" w:hAnsi="宋体" w:eastAsia="宋体" w:cs="Times New Roman"/>
          <w:b/>
          <w:sz w:val="32"/>
          <w:szCs w:val="32"/>
        </w:rPr>
      </w:pPr>
      <w:r>
        <w:rPr>
          <w:rFonts w:hint="eastAsia" w:ascii="宋体" w:hAnsi="宋体" w:eastAsia="宋体" w:cs="Times New Roman"/>
          <w:b/>
          <w:sz w:val="32"/>
          <w:szCs w:val="32"/>
        </w:rPr>
        <w:t>法定代表人授权委托书</w:t>
      </w:r>
    </w:p>
    <w:p w14:paraId="43DECEE6">
      <w:pPr>
        <w:spacing w:line="500" w:lineRule="exact"/>
        <w:rPr>
          <w:rFonts w:ascii="宋体" w:hAnsi="宋体" w:eastAsia="宋体" w:cs="Times New Roman"/>
          <w:sz w:val="28"/>
          <w:szCs w:val="28"/>
        </w:rPr>
      </w:pPr>
    </w:p>
    <w:p w14:paraId="620CD0CC">
      <w:pPr>
        <w:widowControl/>
        <w:spacing w:line="500" w:lineRule="exact"/>
        <w:jc w:val="left"/>
        <w:rPr>
          <w:rFonts w:ascii="宋体" w:hAnsi="宋体" w:eastAsia="宋体" w:cs="Times New Roman"/>
          <w:sz w:val="24"/>
          <w:szCs w:val="24"/>
          <w:u w:val="single"/>
          <w:shd w:val="clear" w:color="auto" w:fill="FFFFFF"/>
        </w:rPr>
      </w:pPr>
      <w:r>
        <w:rPr>
          <w:rFonts w:hint="eastAsia" w:ascii="宋体" w:hAnsi="宋体" w:eastAsia="宋体" w:cs="Times New Roman"/>
          <w:spacing w:val="-11"/>
          <w:sz w:val="24"/>
          <w:szCs w:val="24"/>
          <w:u w:val="single"/>
          <w:shd w:val="clear" w:color="auto" w:fill="FFFFFF"/>
        </w:rPr>
        <w:t>启东市自来水厂有限公司：</w:t>
      </w:r>
    </w:p>
    <w:p w14:paraId="2490B700">
      <w:pPr>
        <w:widowControl/>
        <w:spacing w:line="500" w:lineRule="exact"/>
        <w:ind w:firstLine="480" w:firstLineChars="200"/>
        <w:jc w:val="left"/>
        <w:rPr>
          <w:rFonts w:ascii="宋体" w:hAnsi="宋体" w:eastAsia="宋体" w:cs="Times New Roman"/>
          <w:sz w:val="24"/>
          <w:szCs w:val="24"/>
          <w:u w:val="single"/>
          <w:shd w:val="clear" w:color="auto" w:fill="FFFFFF"/>
        </w:rPr>
      </w:pPr>
      <w:r>
        <w:rPr>
          <w:rFonts w:hint="eastAsia" w:ascii="宋体" w:hAnsi="宋体" w:eastAsia="宋体" w:cs="Times New Roman"/>
          <w:sz w:val="24"/>
          <w:szCs w:val="24"/>
          <w:u w:val="single"/>
        </w:rPr>
        <w:t xml:space="preserve">  （报价单位名称）  </w:t>
      </w:r>
      <w:r>
        <w:rPr>
          <w:rFonts w:hint="eastAsia" w:ascii="宋体" w:hAnsi="宋体" w:eastAsia="宋体" w:cs="Times New Roman"/>
          <w:sz w:val="24"/>
          <w:szCs w:val="24"/>
        </w:rPr>
        <w:t>中华人民共和国合法企业，法定地址：</w:t>
      </w:r>
      <w:r>
        <w:rPr>
          <w:rFonts w:hint="eastAsia" w:ascii="宋体" w:hAnsi="宋体" w:eastAsia="宋体" w:cs="Times New Roman"/>
          <w:sz w:val="24"/>
          <w:szCs w:val="24"/>
          <w:u w:val="single"/>
        </w:rPr>
        <w:t xml:space="preserve">   （报价单位地址） </w:t>
      </w:r>
      <w:r>
        <w:rPr>
          <w:rFonts w:hint="eastAsia" w:ascii="宋体" w:hAnsi="宋体" w:eastAsia="宋体" w:cs="Times New Roman"/>
          <w:sz w:val="24"/>
          <w:szCs w:val="24"/>
          <w:shd w:val="clear" w:color="auto" w:fill="FFFFFF"/>
        </w:rPr>
        <w:t>特授权</w:t>
      </w:r>
      <w:r>
        <w:rPr>
          <w:rFonts w:hint="eastAsia" w:ascii="宋体" w:hAnsi="宋体" w:eastAsia="宋体" w:cs="Times New Roman"/>
          <w:sz w:val="24"/>
          <w:szCs w:val="24"/>
          <w:u w:val="single"/>
          <w:shd w:val="clear" w:color="auto" w:fill="FFFFFF"/>
        </w:rPr>
        <w:t xml:space="preserve">  （被授权人姓名） </w:t>
      </w:r>
      <w:r>
        <w:rPr>
          <w:rFonts w:hint="eastAsia" w:ascii="宋体" w:hAnsi="宋体" w:eastAsia="宋体" w:cs="Times New Roman"/>
          <w:sz w:val="24"/>
          <w:szCs w:val="24"/>
          <w:shd w:val="clear" w:color="auto" w:fill="FFFFFF"/>
        </w:rPr>
        <w:t>代表我单位全权办理针对</w:t>
      </w:r>
      <w:r>
        <w:rPr>
          <w:rFonts w:hint="eastAsia" w:ascii="宋体" w:hAnsi="宋体" w:eastAsia="宋体" w:cs="Times New Roman"/>
          <w:sz w:val="24"/>
          <w:szCs w:val="24"/>
          <w:u w:val="single"/>
          <w:shd w:val="clear" w:color="auto" w:fill="FFFFFF"/>
        </w:rPr>
        <w:t>启东市自来水厂有限公司</w:t>
      </w:r>
      <w:r>
        <w:rPr>
          <w:rFonts w:hint="eastAsia" w:ascii="宋体" w:hAnsi="宋体" w:eastAsia="宋体" w:cs="Times New Roman"/>
          <w:sz w:val="24"/>
          <w:szCs w:val="24"/>
          <w:u w:val="single"/>
          <w:shd w:val="clear" w:color="auto" w:fill="FFFFFF"/>
          <w:lang w:eastAsia="zh-CN"/>
        </w:rPr>
        <w:t>2025-2026</w:t>
      </w:r>
      <w:r>
        <w:rPr>
          <w:rFonts w:hint="eastAsia" w:ascii="宋体" w:hAnsi="宋体" w:eastAsia="宋体" w:cs="Times New Roman"/>
          <w:sz w:val="24"/>
          <w:szCs w:val="24"/>
          <w:u w:val="single"/>
          <w:shd w:val="clear" w:color="auto" w:fill="FFFFFF"/>
        </w:rPr>
        <w:t>年度收费系统、集抄平台的三级等保测评项目</w:t>
      </w:r>
      <w:r>
        <w:rPr>
          <w:rFonts w:hint="eastAsia" w:ascii="宋体" w:hAnsi="宋体" w:eastAsia="宋体" w:cs="Times New Roman"/>
          <w:sz w:val="24"/>
          <w:szCs w:val="24"/>
          <w:shd w:val="clear" w:color="auto" w:fill="FFFFFF"/>
        </w:rPr>
        <w:t>的投标，并签署全部有关文件、协议及合同。我单位对被授权人签名的所有文件负全部责任。被授权人签署的所有文件（在授权书有效期内签署的）不因授权的撤销而失效，本授权书自投标开始至合同履行完毕止。</w:t>
      </w:r>
    </w:p>
    <w:p w14:paraId="52097997">
      <w:pPr>
        <w:widowControl/>
        <w:spacing w:line="500" w:lineRule="exact"/>
        <w:ind w:firstLine="480" w:firstLineChars="2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被授权人无权转委托。</w:t>
      </w:r>
    </w:p>
    <w:p w14:paraId="02A693D8">
      <w:pPr>
        <w:widowControl/>
        <w:spacing w:line="500" w:lineRule="exact"/>
        <w:jc w:val="left"/>
        <w:rPr>
          <w:rFonts w:ascii="宋体" w:hAnsi="宋体" w:eastAsia="宋体" w:cs="Times New Roman"/>
          <w:sz w:val="24"/>
          <w:szCs w:val="24"/>
          <w:shd w:val="clear" w:color="auto" w:fill="FFFFFF"/>
        </w:rPr>
      </w:pPr>
    </w:p>
    <w:p w14:paraId="3010BF5E">
      <w:pPr>
        <w:widowControl/>
        <w:snapToGrid w:val="0"/>
        <w:spacing w:line="560" w:lineRule="exact"/>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被授权人（签字）：       性别：     年龄：     职务：</w:t>
      </w:r>
    </w:p>
    <w:p w14:paraId="44DDB1E3">
      <w:pPr>
        <w:widowControl/>
        <w:snapToGrid w:val="0"/>
        <w:spacing w:line="560" w:lineRule="exact"/>
        <w:jc w:val="left"/>
        <w:rPr>
          <w:rFonts w:ascii="宋体" w:hAnsi="宋体" w:eastAsia="宋体" w:cs="Times New Roman"/>
          <w:sz w:val="24"/>
          <w:szCs w:val="24"/>
          <w:u w:val="single"/>
          <w:shd w:val="clear" w:color="auto" w:fill="FFFFFF"/>
        </w:rPr>
      </w:pPr>
      <w:r>
        <w:rPr>
          <w:rFonts w:hint="eastAsia" w:ascii="宋体" w:hAnsi="宋体" w:eastAsia="宋体" w:cs="Times New Roman"/>
          <w:sz w:val="24"/>
          <w:szCs w:val="24"/>
          <w:shd w:val="clear" w:color="auto" w:fill="FFFFFF"/>
        </w:rPr>
        <w:t>身份证号码：</w:t>
      </w:r>
    </w:p>
    <w:p w14:paraId="5A78FD36">
      <w:pPr>
        <w:widowControl/>
        <w:snapToGrid w:val="0"/>
        <w:spacing w:line="560" w:lineRule="exact"/>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通讯地址：</w:t>
      </w:r>
    </w:p>
    <w:p w14:paraId="723A8A27">
      <w:pPr>
        <w:widowControl/>
        <w:snapToGrid w:val="0"/>
        <w:spacing w:line="560" w:lineRule="exact"/>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联系电话：</w:t>
      </w:r>
    </w:p>
    <w:p w14:paraId="42806C80">
      <w:pPr>
        <w:widowControl/>
        <w:snapToGrid w:val="0"/>
        <w:spacing w:line="560" w:lineRule="exact"/>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法定代表人（签字或盖章）：</w:t>
      </w:r>
    </w:p>
    <w:p w14:paraId="05D667B3">
      <w:pPr>
        <w:widowControl/>
        <w:snapToGrid w:val="0"/>
        <w:spacing w:line="560" w:lineRule="exact"/>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供应商（盖章）：</w:t>
      </w:r>
    </w:p>
    <w:p w14:paraId="1DE3B870">
      <w:pPr>
        <w:widowControl/>
        <w:snapToGrid w:val="0"/>
        <w:spacing w:line="560" w:lineRule="exact"/>
        <w:ind w:firstLine="720" w:firstLineChars="300"/>
        <w:jc w:val="left"/>
        <w:rPr>
          <w:rFonts w:ascii="宋体" w:hAnsi="宋体" w:eastAsia="宋体" w:cs="Times New Roman"/>
          <w:sz w:val="24"/>
          <w:szCs w:val="24"/>
          <w:shd w:val="clear" w:color="auto" w:fill="FFFFFF"/>
        </w:rPr>
      </w:pPr>
      <w:r>
        <w:rPr>
          <w:rFonts w:hint="eastAsia" w:ascii="宋体" w:hAnsi="宋体" w:eastAsia="宋体" w:cs="Times New Roman"/>
          <w:sz w:val="24"/>
          <w:szCs w:val="24"/>
          <w:shd w:val="clear" w:color="auto" w:fill="FFFFFF"/>
        </w:rPr>
        <w:t>年  月  日</w:t>
      </w:r>
    </w:p>
    <w:p w14:paraId="3CE87497">
      <w:pPr>
        <w:rPr>
          <w:rFonts w:eastAsia="宋体"/>
          <w:sz w:val="24"/>
          <w:szCs w:val="24"/>
        </w:rPr>
      </w:pPr>
    </w:p>
    <w:p w14:paraId="6AB8288B">
      <w:pPr>
        <w:pStyle w:val="4"/>
        <w:rPr>
          <w:rFonts w:ascii="宋体" w:hAnsi="宋体" w:eastAsia="宋体" w:cs="Times New Roman"/>
          <w:kern w:val="2"/>
          <w:shd w:val="clear" w:color="auto" w:fill="FFFFFF"/>
        </w:rPr>
        <w:sectPr>
          <w:footerReference r:id="rId3" w:type="default"/>
          <w:pgSz w:w="11906" w:h="16838"/>
          <w:pgMar w:top="1560" w:right="1274" w:bottom="1276" w:left="1418" w:header="851" w:footer="992" w:gutter="0"/>
          <w:cols w:space="425" w:num="1"/>
          <w:docGrid w:type="lines" w:linePitch="312" w:charSpace="0"/>
        </w:sectPr>
      </w:pPr>
      <w:r>
        <w:rPr>
          <w:rFonts w:hint="eastAsia" w:ascii="宋体" w:hAnsi="宋体" w:eastAsia="宋体" w:cs="Times New Roman"/>
          <w:kern w:val="2"/>
          <w:shd w:val="clear" w:color="auto" w:fill="FFFFFF"/>
        </w:rPr>
        <w:t>附：被授权人身份证正反面复印件</w:t>
      </w:r>
    </w:p>
    <w:p w14:paraId="17166BF5">
      <w:pPr>
        <w:spacing w:line="360" w:lineRule="auto"/>
        <w:jc w:val="left"/>
        <w:rPr>
          <w:rFonts w:ascii="宋体" w:hAnsi="宋体" w:eastAsia="宋体" w:cs="仿宋_GB2312"/>
          <w:bCs/>
          <w:sz w:val="28"/>
          <w:szCs w:val="28"/>
        </w:rPr>
      </w:pPr>
      <w:r>
        <w:rPr>
          <w:rFonts w:hint="eastAsia" w:ascii="宋体" w:hAnsi="宋体" w:eastAsia="宋体" w:cs="仿宋_GB2312"/>
          <w:bCs/>
          <w:sz w:val="28"/>
          <w:szCs w:val="28"/>
        </w:rPr>
        <w:t>附件三：</w:t>
      </w:r>
    </w:p>
    <w:p w14:paraId="43DA2684">
      <w:pPr>
        <w:ind w:firstLine="602" w:firstLineChars="200"/>
        <w:jc w:val="center"/>
        <w:rPr>
          <w:rFonts w:ascii="宋体" w:hAnsi="宋体" w:eastAsia="宋体" w:cs="宋体"/>
          <w:b/>
          <w:kern w:val="0"/>
          <w:sz w:val="24"/>
          <w:szCs w:val="24"/>
        </w:rPr>
      </w:pPr>
      <w:r>
        <w:rPr>
          <w:rFonts w:hint="eastAsia" w:ascii="宋体" w:hAnsi="宋体" w:eastAsia="宋体" w:cs="宋体"/>
          <w:b/>
          <w:sz w:val="30"/>
          <w:szCs w:val="30"/>
        </w:rPr>
        <w:t>参加政府采购活动前 3 年内在经营活动中没有重大违法记</w:t>
      </w:r>
      <w:r>
        <w:rPr>
          <w:rFonts w:hint="eastAsia" w:ascii="宋体" w:hAnsi="宋体" w:eastAsia="宋体" w:cs="宋体"/>
          <w:b/>
          <w:bCs/>
          <w:sz w:val="30"/>
          <w:szCs w:val="30"/>
        </w:rPr>
        <w:t>录和失信记录的书面声明</w:t>
      </w:r>
    </w:p>
    <w:p w14:paraId="0D33D817">
      <w:pPr>
        <w:spacing w:line="460" w:lineRule="exact"/>
        <w:rPr>
          <w:rFonts w:ascii="宋体" w:hAnsi="宋体" w:eastAsia="宋体" w:cs="宋体"/>
          <w:b/>
          <w:sz w:val="44"/>
          <w:szCs w:val="44"/>
        </w:rPr>
      </w:pPr>
    </w:p>
    <w:p w14:paraId="020E1DB6">
      <w:pPr>
        <w:spacing w:line="460" w:lineRule="exact"/>
        <w:jc w:val="center"/>
        <w:rPr>
          <w:rFonts w:ascii="宋体" w:hAnsi="宋体" w:eastAsia="宋体" w:cs="宋体"/>
          <w:b/>
          <w:sz w:val="44"/>
          <w:szCs w:val="44"/>
        </w:rPr>
      </w:pPr>
      <w:r>
        <w:rPr>
          <w:rFonts w:hint="eastAsia" w:ascii="宋体" w:hAnsi="宋体" w:eastAsia="宋体" w:cs="宋体"/>
          <w:b/>
          <w:sz w:val="44"/>
          <w:szCs w:val="44"/>
        </w:rPr>
        <w:t>声  明</w:t>
      </w:r>
    </w:p>
    <w:p w14:paraId="63DD8A23">
      <w:pPr>
        <w:spacing w:line="460" w:lineRule="exact"/>
        <w:ind w:firstLine="881"/>
        <w:jc w:val="center"/>
        <w:rPr>
          <w:rFonts w:ascii="宋体" w:hAnsi="宋体" w:eastAsia="宋体" w:cs="宋体"/>
          <w:b/>
          <w:sz w:val="44"/>
          <w:szCs w:val="44"/>
        </w:rPr>
      </w:pPr>
    </w:p>
    <w:p w14:paraId="48EC686F">
      <w:pPr>
        <w:spacing w:line="500" w:lineRule="exact"/>
        <w:ind w:firstLine="482"/>
        <w:rPr>
          <w:rFonts w:ascii="宋体" w:hAnsi="宋体" w:eastAsia="宋体" w:cs="宋体"/>
          <w:bCs/>
          <w:sz w:val="24"/>
          <w:szCs w:val="24"/>
        </w:rPr>
      </w:pPr>
      <w:r>
        <w:rPr>
          <w:rFonts w:hint="eastAsia" w:ascii="宋体" w:hAnsi="宋体" w:eastAsia="宋体" w:cs="宋体"/>
          <w:bCs/>
          <w:sz w:val="24"/>
          <w:szCs w:val="24"/>
        </w:rPr>
        <w:t>我公司郑重声明：参加本次政府采购活动前 3 年内，我公司在经营活动中没有因违法经营受到刑事处罚或者责令停产停业、吊销许可证或者执照、较大数额罚款等行政处罚。</w:t>
      </w:r>
    </w:p>
    <w:p w14:paraId="78C21436">
      <w:pPr>
        <w:spacing w:line="500" w:lineRule="exact"/>
        <w:ind w:firstLine="482"/>
        <w:rPr>
          <w:rFonts w:ascii="宋体" w:hAnsi="宋体" w:eastAsia="宋体" w:cs="宋体"/>
          <w:bCs/>
          <w:sz w:val="24"/>
          <w:szCs w:val="24"/>
        </w:rPr>
      </w:pPr>
      <w:r>
        <w:rPr>
          <w:rFonts w:hint="eastAsia" w:ascii="宋体" w:hAnsi="宋体" w:eastAsia="宋体" w:cs="宋体"/>
          <w:bCs/>
          <w:sz w:val="24"/>
          <w:szCs w:val="24"/>
        </w:rPr>
        <w:t>在</w:t>
      </w:r>
      <w:r>
        <w:rPr>
          <w:rFonts w:hint="eastAsia" w:ascii="宋体" w:hAnsi="宋体" w:eastAsia="宋体" w:cs="宋体"/>
          <w:sz w:val="24"/>
          <w:szCs w:val="24"/>
        </w:rPr>
        <w:t>投标截止时间节点，没有被“信用中国”、“中国政府采购网”、“信用江苏”网站列入失信被执行人、重大税收违法案件当事人名单、政府采购严重违法失信行为记录名单。</w:t>
      </w:r>
    </w:p>
    <w:p w14:paraId="313BED55">
      <w:pPr>
        <w:spacing w:line="460" w:lineRule="exact"/>
        <w:rPr>
          <w:rFonts w:ascii="宋体" w:hAnsi="宋体" w:eastAsia="宋体" w:cs="宋体"/>
          <w:bCs/>
          <w:sz w:val="24"/>
          <w:szCs w:val="24"/>
        </w:rPr>
      </w:pPr>
    </w:p>
    <w:p w14:paraId="3EC043B6">
      <w:pPr>
        <w:spacing w:line="460" w:lineRule="exact"/>
        <w:jc w:val="center"/>
        <w:rPr>
          <w:rFonts w:ascii="宋体" w:hAnsi="宋体" w:eastAsia="宋体" w:cs="宋体"/>
          <w:bCs/>
          <w:sz w:val="24"/>
          <w:szCs w:val="24"/>
          <w:u w:val="single"/>
        </w:rPr>
      </w:pPr>
      <w:r>
        <w:rPr>
          <w:rFonts w:hint="eastAsia" w:ascii="宋体" w:hAnsi="宋体" w:eastAsia="宋体" w:cs="宋体"/>
          <w:bCs/>
          <w:sz w:val="24"/>
          <w:szCs w:val="24"/>
        </w:rPr>
        <w:t xml:space="preserve"> 供应商名称（公章）：</w:t>
      </w:r>
    </w:p>
    <w:p w14:paraId="55238D6C">
      <w:pPr>
        <w:spacing w:line="460" w:lineRule="exact"/>
        <w:rPr>
          <w:rFonts w:ascii="宋体" w:hAnsi="宋体" w:eastAsia="宋体" w:cs="宋体"/>
          <w:bCs/>
          <w:sz w:val="24"/>
          <w:szCs w:val="24"/>
          <w:u w:val="single"/>
        </w:rPr>
      </w:pPr>
      <w:r>
        <w:rPr>
          <w:rFonts w:hint="eastAsia" w:ascii="宋体" w:hAnsi="宋体" w:eastAsia="宋体" w:cs="宋体"/>
          <w:bCs/>
          <w:sz w:val="24"/>
          <w:szCs w:val="24"/>
        </w:rPr>
        <w:t xml:space="preserve">                             授权代表签字：</w:t>
      </w:r>
    </w:p>
    <w:p w14:paraId="0E8E975A">
      <w:pPr>
        <w:spacing w:line="460" w:lineRule="exact"/>
        <w:rPr>
          <w:rFonts w:ascii="宋体" w:hAnsi="宋体" w:eastAsia="宋体" w:cs="宋体"/>
          <w:bCs/>
          <w:sz w:val="24"/>
          <w:szCs w:val="24"/>
        </w:rPr>
      </w:pPr>
      <w:r>
        <w:rPr>
          <w:rFonts w:hint="eastAsia" w:ascii="宋体" w:hAnsi="宋体" w:eastAsia="宋体" w:cs="宋体"/>
          <w:bCs/>
          <w:sz w:val="24"/>
          <w:szCs w:val="24"/>
        </w:rPr>
        <w:t xml:space="preserve">                             日期：年月日</w:t>
      </w:r>
    </w:p>
    <w:p w14:paraId="60591DFF">
      <w:pPr>
        <w:spacing w:line="500" w:lineRule="exact"/>
        <w:rPr>
          <w:rFonts w:ascii="宋体" w:hAnsi="宋体" w:eastAsia="宋体" w:cs="Times New Roman"/>
          <w:sz w:val="28"/>
          <w:szCs w:val="28"/>
        </w:rPr>
      </w:pPr>
    </w:p>
    <w:p w14:paraId="11F8F2BA">
      <w:pPr>
        <w:spacing w:line="500" w:lineRule="exact"/>
        <w:rPr>
          <w:rFonts w:ascii="宋体" w:hAnsi="宋体" w:eastAsia="宋体" w:cs="Times New Roman"/>
          <w:sz w:val="28"/>
          <w:szCs w:val="28"/>
        </w:rPr>
      </w:pPr>
    </w:p>
    <w:p w14:paraId="6BECD57C">
      <w:pPr>
        <w:spacing w:line="500" w:lineRule="exact"/>
        <w:rPr>
          <w:rFonts w:ascii="宋体" w:hAnsi="宋体" w:eastAsia="宋体" w:cs="Times New Roman"/>
          <w:sz w:val="28"/>
          <w:szCs w:val="28"/>
        </w:rPr>
      </w:pPr>
    </w:p>
    <w:p w14:paraId="15D1C24B">
      <w:pPr>
        <w:spacing w:line="500" w:lineRule="exact"/>
        <w:rPr>
          <w:rFonts w:ascii="宋体" w:hAnsi="宋体" w:eastAsia="宋体" w:cs="Times New Roman"/>
          <w:sz w:val="28"/>
          <w:szCs w:val="28"/>
        </w:rPr>
      </w:pPr>
    </w:p>
    <w:p w14:paraId="206B1987">
      <w:pPr>
        <w:spacing w:line="500" w:lineRule="exact"/>
        <w:rPr>
          <w:rFonts w:ascii="宋体" w:hAnsi="宋体" w:eastAsia="宋体" w:cs="Times New Roman"/>
          <w:sz w:val="28"/>
          <w:szCs w:val="28"/>
        </w:rPr>
      </w:pPr>
    </w:p>
    <w:p w14:paraId="60288C6E">
      <w:pPr>
        <w:spacing w:line="500" w:lineRule="exact"/>
        <w:rPr>
          <w:rFonts w:ascii="宋体" w:hAnsi="宋体" w:eastAsia="宋体" w:cs="Times New Roman"/>
          <w:sz w:val="28"/>
          <w:szCs w:val="28"/>
        </w:rPr>
      </w:pPr>
    </w:p>
    <w:p w14:paraId="69D788A4">
      <w:pPr>
        <w:spacing w:line="500" w:lineRule="exact"/>
        <w:rPr>
          <w:rFonts w:ascii="宋体" w:hAnsi="宋体" w:eastAsia="宋体" w:cs="Times New Roman"/>
          <w:sz w:val="28"/>
          <w:szCs w:val="28"/>
        </w:rPr>
      </w:pPr>
    </w:p>
    <w:p w14:paraId="43E730BB">
      <w:pPr>
        <w:spacing w:line="500" w:lineRule="exact"/>
        <w:rPr>
          <w:rFonts w:ascii="宋体" w:hAnsi="宋体" w:eastAsia="宋体" w:cs="Times New Roman"/>
          <w:sz w:val="28"/>
          <w:szCs w:val="28"/>
        </w:rPr>
      </w:pPr>
    </w:p>
    <w:p w14:paraId="728C47ED">
      <w:pPr>
        <w:spacing w:line="500" w:lineRule="exact"/>
        <w:rPr>
          <w:rFonts w:ascii="宋体" w:hAnsi="宋体" w:eastAsia="宋体" w:cs="Times New Roman"/>
          <w:sz w:val="28"/>
          <w:szCs w:val="28"/>
        </w:rPr>
      </w:pPr>
    </w:p>
    <w:p w14:paraId="05E0892A">
      <w:pPr>
        <w:spacing w:line="500" w:lineRule="exact"/>
        <w:rPr>
          <w:rFonts w:ascii="宋体" w:hAnsi="宋体" w:eastAsia="宋体" w:cs="Times New Roman"/>
          <w:sz w:val="28"/>
          <w:szCs w:val="28"/>
        </w:rPr>
      </w:pPr>
    </w:p>
    <w:p w14:paraId="71772F7A">
      <w:pPr>
        <w:pStyle w:val="2"/>
      </w:pPr>
    </w:p>
    <w:p w14:paraId="1F460BED">
      <w:pPr>
        <w:pStyle w:val="2"/>
      </w:pPr>
    </w:p>
    <w:p w14:paraId="623AF8AF">
      <w:pPr>
        <w:spacing w:line="500" w:lineRule="exact"/>
        <w:rPr>
          <w:rFonts w:ascii="宋体" w:hAnsi="宋体" w:eastAsia="宋体" w:cs="Times New Roman"/>
          <w:sz w:val="28"/>
          <w:szCs w:val="28"/>
          <w:shd w:val="clear" w:color="auto" w:fill="FFFFFF"/>
        </w:rPr>
      </w:pPr>
      <w:r>
        <w:rPr>
          <w:rFonts w:hint="eastAsia" w:ascii="宋体" w:hAnsi="宋体" w:eastAsia="宋体" w:cs="Times New Roman"/>
          <w:sz w:val="28"/>
          <w:szCs w:val="28"/>
        </w:rPr>
        <w:t>附件四：</w:t>
      </w:r>
    </w:p>
    <w:p w14:paraId="4934D6D9">
      <w:pPr>
        <w:spacing w:line="500" w:lineRule="exact"/>
        <w:jc w:val="center"/>
        <w:rPr>
          <w:rFonts w:ascii="宋体" w:hAnsi="宋体" w:eastAsia="宋体" w:cs="Times New Roman"/>
          <w:b/>
          <w:sz w:val="32"/>
          <w:szCs w:val="32"/>
        </w:rPr>
      </w:pPr>
      <w:r>
        <w:rPr>
          <w:rFonts w:hint="eastAsia" w:ascii="宋体" w:hAnsi="宋体" w:eastAsia="宋体" w:cs="Times New Roman"/>
          <w:b/>
          <w:sz w:val="32"/>
          <w:szCs w:val="32"/>
        </w:rPr>
        <w:t>谈判报价表</w:t>
      </w:r>
    </w:p>
    <w:p w14:paraId="3215EFF4">
      <w:pPr>
        <w:pStyle w:val="2"/>
      </w:pPr>
    </w:p>
    <w:p w14:paraId="41AA1240">
      <w:pPr>
        <w:spacing w:line="500" w:lineRule="exact"/>
        <w:jc w:val="center"/>
        <w:rPr>
          <w:rFonts w:ascii="宋体" w:hAnsi="宋体" w:eastAsia="宋体" w:cs="Times New Roman"/>
          <w:b/>
          <w:sz w:val="32"/>
          <w:szCs w:val="32"/>
        </w:rPr>
      </w:pPr>
      <w:r>
        <w:rPr>
          <w:rFonts w:hint="eastAsia" w:ascii="宋体" w:hAnsi="宋体" w:eastAsia="宋体" w:cs="Times New Roman"/>
          <w:b/>
          <w:sz w:val="32"/>
          <w:szCs w:val="32"/>
        </w:rPr>
        <w:t>启东市自来水厂有限公司</w:t>
      </w:r>
      <w:r>
        <w:rPr>
          <w:rFonts w:hint="eastAsia" w:ascii="宋体" w:hAnsi="宋体" w:eastAsia="宋体" w:cs="Times New Roman"/>
          <w:b/>
          <w:sz w:val="32"/>
          <w:szCs w:val="32"/>
          <w:lang w:eastAsia="zh-CN"/>
        </w:rPr>
        <w:t>2025-2026</w:t>
      </w:r>
      <w:r>
        <w:rPr>
          <w:rFonts w:hint="eastAsia" w:ascii="宋体" w:hAnsi="宋体" w:eastAsia="宋体" w:cs="Times New Roman"/>
          <w:b/>
          <w:sz w:val="32"/>
          <w:szCs w:val="32"/>
        </w:rPr>
        <w:t>年度收费系统、集抄平台的三级等保测评项目</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804"/>
        <w:gridCol w:w="1386"/>
        <w:gridCol w:w="882"/>
        <w:gridCol w:w="850"/>
        <w:gridCol w:w="882"/>
        <w:gridCol w:w="882"/>
      </w:tblGrid>
      <w:tr w14:paraId="34D4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709" w:type="dxa"/>
            <w:noWrap/>
            <w:vAlign w:val="center"/>
          </w:tcPr>
          <w:p w14:paraId="10EA57D1">
            <w:pPr>
              <w:jc w:val="center"/>
              <w:rPr>
                <w:rFonts w:ascii="宋体" w:hAnsi="宋体"/>
              </w:rPr>
            </w:pPr>
            <w:r>
              <w:rPr>
                <w:rFonts w:hint="eastAsia" w:ascii="宋体" w:hAnsi="宋体"/>
              </w:rPr>
              <w:t>序号</w:t>
            </w:r>
          </w:p>
        </w:tc>
        <w:tc>
          <w:tcPr>
            <w:tcW w:w="2804" w:type="dxa"/>
            <w:noWrap/>
            <w:vAlign w:val="center"/>
          </w:tcPr>
          <w:p w14:paraId="514AAC21">
            <w:pPr>
              <w:jc w:val="center"/>
              <w:rPr>
                <w:rFonts w:ascii="宋体" w:hAnsi="宋体" w:cs="宋体"/>
                <w:b/>
                <w:bCs/>
                <w:sz w:val="22"/>
              </w:rPr>
            </w:pPr>
            <w:r>
              <w:rPr>
                <w:rFonts w:hint="eastAsia"/>
                <w:b/>
                <w:bCs/>
                <w:sz w:val="22"/>
              </w:rPr>
              <w:t xml:space="preserve"> 等保测评系统名称</w:t>
            </w:r>
          </w:p>
        </w:tc>
        <w:tc>
          <w:tcPr>
            <w:tcW w:w="1386" w:type="dxa"/>
            <w:noWrap/>
            <w:vAlign w:val="center"/>
          </w:tcPr>
          <w:p w14:paraId="5929E909">
            <w:pPr>
              <w:jc w:val="center"/>
              <w:rPr>
                <w:rFonts w:ascii="宋体" w:hAnsi="宋体"/>
              </w:rPr>
            </w:pPr>
            <w:r>
              <w:rPr>
                <w:rFonts w:ascii="宋体" w:hAnsi="宋体"/>
              </w:rPr>
              <w:t>系统等级</w:t>
            </w:r>
          </w:p>
        </w:tc>
        <w:tc>
          <w:tcPr>
            <w:tcW w:w="882" w:type="dxa"/>
            <w:noWrap/>
            <w:vAlign w:val="center"/>
          </w:tcPr>
          <w:p w14:paraId="77876352">
            <w:pPr>
              <w:jc w:val="center"/>
              <w:rPr>
                <w:rFonts w:ascii="宋体" w:hAnsi="宋体"/>
              </w:rPr>
            </w:pPr>
            <w:r>
              <w:rPr>
                <w:rFonts w:hint="eastAsia" w:ascii="宋体" w:hAnsi="宋体"/>
              </w:rPr>
              <w:t>数量</w:t>
            </w:r>
          </w:p>
        </w:tc>
        <w:tc>
          <w:tcPr>
            <w:tcW w:w="850" w:type="dxa"/>
            <w:noWrap/>
            <w:vAlign w:val="center"/>
          </w:tcPr>
          <w:p w14:paraId="57B0E5E3">
            <w:pPr>
              <w:jc w:val="center"/>
              <w:rPr>
                <w:rFonts w:ascii="宋体" w:hAnsi="宋体"/>
              </w:rPr>
            </w:pPr>
            <w:r>
              <w:rPr>
                <w:rFonts w:hint="eastAsia" w:ascii="宋体" w:hAnsi="宋体"/>
              </w:rPr>
              <w:t>单位</w:t>
            </w:r>
          </w:p>
        </w:tc>
        <w:tc>
          <w:tcPr>
            <w:tcW w:w="882" w:type="dxa"/>
            <w:noWrap/>
            <w:vAlign w:val="center"/>
          </w:tcPr>
          <w:p w14:paraId="14C63720">
            <w:pPr>
              <w:jc w:val="center"/>
              <w:rPr>
                <w:rFonts w:ascii="宋体" w:hAnsi="宋体"/>
              </w:rPr>
            </w:pPr>
            <w:r>
              <w:rPr>
                <w:rFonts w:hint="eastAsia" w:ascii="宋体" w:hAnsi="宋体"/>
              </w:rPr>
              <w:t>投标报价（元）</w:t>
            </w:r>
          </w:p>
        </w:tc>
        <w:tc>
          <w:tcPr>
            <w:tcW w:w="882" w:type="dxa"/>
            <w:noWrap/>
            <w:vAlign w:val="center"/>
          </w:tcPr>
          <w:p w14:paraId="209F8103">
            <w:pPr>
              <w:jc w:val="center"/>
              <w:rPr>
                <w:rFonts w:ascii="宋体" w:hAnsi="宋体"/>
              </w:rPr>
            </w:pPr>
            <w:r>
              <w:rPr>
                <w:rFonts w:hint="eastAsia" w:ascii="宋体" w:hAnsi="宋体"/>
              </w:rPr>
              <w:t>合计（元）</w:t>
            </w:r>
          </w:p>
        </w:tc>
      </w:tr>
      <w:tr w14:paraId="395F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09" w:type="dxa"/>
            <w:noWrap/>
            <w:vAlign w:val="center"/>
          </w:tcPr>
          <w:p w14:paraId="79218FD0">
            <w:pPr>
              <w:jc w:val="center"/>
              <w:rPr>
                <w:rFonts w:ascii="宋体" w:hAnsi="宋体"/>
              </w:rPr>
            </w:pPr>
            <w:r>
              <w:rPr>
                <w:rFonts w:hint="eastAsia"/>
                <w:sz w:val="22"/>
              </w:rPr>
              <w:t>1</w:t>
            </w:r>
          </w:p>
        </w:tc>
        <w:tc>
          <w:tcPr>
            <w:tcW w:w="2804" w:type="dxa"/>
            <w:noWrap/>
            <w:vAlign w:val="center"/>
          </w:tcPr>
          <w:p w14:paraId="55BCB60B">
            <w:pPr>
              <w:jc w:val="center"/>
              <w:rPr>
                <w:rFonts w:ascii="宋体" w:hAnsi="宋体" w:cs="宋体"/>
                <w:b/>
                <w:bCs/>
                <w:sz w:val="22"/>
              </w:rPr>
            </w:pPr>
            <w:r>
              <w:rPr>
                <w:rFonts w:hint="eastAsia"/>
                <w:sz w:val="22"/>
              </w:rPr>
              <w:t>营业收费系统MIS</w:t>
            </w:r>
          </w:p>
        </w:tc>
        <w:tc>
          <w:tcPr>
            <w:tcW w:w="1386" w:type="dxa"/>
            <w:noWrap/>
            <w:vAlign w:val="center"/>
          </w:tcPr>
          <w:p w14:paraId="6EEFFEFA">
            <w:pPr>
              <w:ind w:firstLine="105" w:firstLineChars="50"/>
              <w:jc w:val="center"/>
              <w:rPr>
                <w:rFonts w:ascii="宋体" w:hAnsi="宋体"/>
              </w:rPr>
            </w:pPr>
            <w:r>
              <w:rPr>
                <w:rFonts w:ascii="宋体" w:hAnsi="宋体"/>
              </w:rPr>
              <w:t>第三级</w:t>
            </w:r>
          </w:p>
        </w:tc>
        <w:tc>
          <w:tcPr>
            <w:tcW w:w="882" w:type="dxa"/>
            <w:noWrap/>
            <w:vAlign w:val="center"/>
          </w:tcPr>
          <w:p w14:paraId="3AADF401">
            <w:pPr>
              <w:ind w:firstLine="105" w:firstLineChars="50"/>
              <w:jc w:val="center"/>
              <w:rPr>
                <w:rFonts w:ascii="宋体" w:hAnsi="宋体"/>
              </w:rPr>
            </w:pPr>
            <w:r>
              <w:rPr>
                <w:rFonts w:hint="eastAsia" w:ascii="宋体" w:hAnsi="宋体"/>
              </w:rPr>
              <w:t>1</w:t>
            </w:r>
          </w:p>
        </w:tc>
        <w:tc>
          <w:tcPr>
            <w:tcW w:w="850" w:type="dxa"/>
            <w:noWrap/>
            <w:vAlign w:val="center"/>
          </w:tcPr>
          <w:p w14:paraId="5A8A2554">
            <w:pPr>
              <w:jc w:val="center"/>
              <w:rPr>
                <w:rFonts w:ascii="宋体" w:hAnsi="宋体"/>
              </w:rPr>
            </w:pPr>
            <w:r>
              <w:rPr>
                <w:rFonts w:hint="eastAsia" w:ascii="宋体" w:hAnsi="宋体"/>
              </w:rPr>
              <w:t>项</w:t>
            </w:r>
          </w:p>
        </w:tc>
        <w:tc>
          <w:tcPr>
            <w:tcW w:w="882" w:type="dxa"/>
            <w:noWrap/>
            <w:vAlign w:val="center"/>
          </w:tcPr>
          <w:p w14:paraId="4135C50B">
            <w:pPr>
              <w:spacing w:line="440" w:lineRule="exact"/>
              <w:jc w:val="center"/>
              <w:rPr>
                <w:rFonts w:ascii="宋体" w:hAnsi="宋体" w:cs="宋体"/>
                <w:szCs w:val="21"/>
              </w:rPr>
            </w:pPr>
          </w:p>
        </w:tc>
        <w:tc>
          <w:tcPr>
            <w:tcW w:w="882" w:type="dxa"/>
            <w:vMerge w:val="restart"/>
            <w:noWrap/>
            <w:vAlign w:val="center"/>
          </w:tcPr>
          <w:p w14:paraId="18F02248">
            <w:pPr>
              <w:spacing w:line="440" w:lineRule="exact"/>
              <w:jc w:val="center"/>
              <w:rPr>
                <w:rFonts w:ascii="宋体" w:hAnsi="宋体" w:cs="宋体"/>
                <w:szCs w:val="21"/>
              </w:rPr>
            </w:pPr>
          </w:p>
        </w:tc>
      </w:tr>
      <w:tr w14:paraId="42D2C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709" w:type="dxa"/>
            <w:noWrap/>
            <w:vAlign w:val="center"/>
          </w:tcPr>
          <w:p w14:paraId="4A900732">
            <w:pPr>
              <w:jc w:val="center"/>
              <w:rPr>
                <w:rFonts w:ascii="宋体" w:hAnsi="宋体"/>
              </w:rPr>
            </w:pPr>
            <w:r>
              <w:rPr>
                <w:rFonts w:hint="eastAsia"/>
                <w:sz w:val="22"/>
              </w:rPr>
              <w:t>2</w:t>
            </w:r>
          </w:p>
        </w:tc>
        <w:tc>
          <w:tcPr>
            <w:tcW w:w="2804" w:type="dxa"/>
            <w:noWrap/>
            <w:vAlign w:val="center"/>
          </w:tcPr>
          <w:p w14:paraId="460662D6">
            <w:pPr>
              <w:jc w:val="center"/>
              <w:rPr>
                <w:sz w:val="22"/>
              </w:rPr>
            </w:pPr>
            <w:r>
              <w:rPr>
                <w:rFonts w:hint="eastAsia"/>
                <w:sz w:val="22"/>
              </w:rPr>
              <w:t>集抄平台（含scada系统）</w:t>
            </w:r>
          </w:p>
        </w:tc>
        <w:tc>
          <w:tcPr>
            <w:tcW w:w="1386" w:type="dxa"/>
            <w:noWrap/>
            <w:vAlign w:val="center"/>
          </w:tcPr>
          <w:p w14:paraId="211F58A2">
            <w:pPr>
              <w:ind w:firstLine="105" w:firstLineChars="50"/>
              <w:jc w:val="center"/>
              <w:rPr>
                <w:rFonts w:ascii="宋体" w:hAnsi="宋体"/>
              </w:rPr>
            </w:pPr>
            <w:r>
              <w:rPr>
                <w:rFonts w:ascii="宋体" w:hAnsi="宋体"/>
              </w:rPr>
              <w:t>第三级</w:t>
            </w:r>
          </w:p>
        </w:tc>
        <w:tc>
          <w:tcPr>
            <w:tcW w:w="882" w:type="dxa"/>
            <w:noWrap/>
            <w:vAlign w:val="center"/>
          </w:tcPr>
          <w:p w14:paraId="46F49923">
            <w:pPr>
              <w:ind w:firstLine="105" w:firstLineChars="50"/>
              <w:jc w:val="center"/>
              <w:rPr>
                <w:rFonts w:ascii="宋体" w:hAnsi="宋体"/>
              </w:rPr>
            </w:pPr>
            <w:r>
              <w:rPr>
                <w:rFonts w:hint="eastAsia" w:ascii="宋体" w:hAnsi="宋体"/>
              </w:rPr>
              <w:t>1</w:t>
            </w:r>
          </w:p>
        </w:tc>
        <w:tc>
          <w:tcPr>
            <w:tcW w:w="850" w:type="dxa"/>
            <w:noWrap/>
            <w:vAlign w:val="center"/>
          </w:tcPr>
          <w:p w14:paraId="44A35489">
            <w:pPr>
              <w:jc w:val="center"/>
              <w:rPr>
                <w:rFonts w:ascii="宋体" w:hAnsi="宋体"/>
              </w:rPr>
            </w:pPr>
            <w:r>
              <w:rPr>
                <w:rFonts w:hint="eastAsia" w:ascii="宋体" w:hAnsi="宋体"/>
              </w:rPr>
              <w:t>项</w:t>
            </w:r>
          </w:p>
        </w:tc>
        <w:tc>
          <w:tcPr>
            <w:tcW w:w="882" w:type="dxa"/>
            <w:noWrap/>
            <w:vAlign w:val="center"/>
          </w:tcPr>
          <w:p w14:paraId="16A1F17A">
            <w:pPr>
              <w:spacing w:line="440" w:lineRule="exact"/>
              <w:jc w:val="center"/>
              <w:rPr>
                <w:rFonts w:ascii="宋体" w:hAnsi="宋体" w:cs="宋体"/>
                <w:szCs w:val="21"/>
              </w:rPr>
            </w:pPr>
          </w:p>
        </w:tc>
        <w:tc>
          <w:tcPr>
            <w:tcW w:w="882" w:type="dxa"/>
            <w:vMerge w:val="continue"/>
            <w:noWrap/>
            <w:vAlign w:val="center"/>
          </w:tcPr>
          <w:p w14:paraId="2EA52DFA">
            <w:pPr>
              <w:spacing w:line="440" w:lineRule="exact"/>
              <w:jc w:val="center"/>
              <w:rPr>
                <w:rFonts w:ascii="宋体" w:hAnsi="宋体" w:cs="宋体"/>
                <w:szCs w:val="21"/>
              </w:rPr>
            </w:pPr>
          </w:p>
        </w:tc>
      </w:tr>
      <w:tr w14:paraId="0CF5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09" w:type="dxa"/>
            <w:noWrap/>
            <w:vAlign w:val="center"/>
          </w:tcPr>
          <w:p w14:paraId="10E32C04">
            <w:pPr>
              <w:jc w:val="center"/>
              <w:rPr>
                <w:rFonts w:ascii="宋体" w:hAnsi="宋体"/>
              </w:rPr>
            </w:pPr>
            <w:r>
              <w:rPr>
                <w:rFonts w:hint="eastAsia"/>
                <w:sz w:val="22"/>
              </w:rPr>
              <w:t>3</w:t>
            </w:r>
          </w:p>
        </w:tc>
        <w:tc>
          <w:tcPr>
            <w:tcW w:w="2804" w:type="dxa"/>
            <w:noWrap/>
            <w:vAlign w:val="center"/>
          </w:tcPr>
          <w:p w14:paraId="2E4FD4F5">
            <w:pPr>
              <w:jc w:val="center"/>
              <w:rPr>
                <w:rFonts w:ascii="宋体" w:hAnsi="宋体" w:cs="宋体"/>
                <w:sz w:val="22"/>
              </w:rPr>
            </w:pPr>
            <w:r>
              <w:rPr>
                <w:rFonts w:hint="eastAsia"/>
                <w:sz w:val="22"/>
              </w:rPr>
              <w:t>增值服务</w:t>
            </w:r>
          </w:p>
        </w:tc>
        <w:tc>
          <w:tcPr>
            <w:tcW w:w="1386" w:type="dxa"/>
            <w:noWrap/>
            <w:vAlign w:val="center"/>
          </w:tcPr>
          <w:p w14:paraId="76314E83">
            <w:pPr>
              <w:ind w:firstLine="105" w:firstLineChars="50"/>
              <w:jc w:val="center"/>
              <w:rPr>
                <w:rFonts w:ascii="宋体" w:hAnsi="宋体"/>
              </w:rPr>
            </w:pPr>
            <w:r>
              <w:rPr>
                <w:rFonts w:hint="eastAsia" w:ascii="宋体" w:hAnsi="宋体"/>
              </w:rPr>
              <w:t>/</w:t>
            </w:r>
          </w:p>
        </w:tc>
        <w:tc>
          <w:tcPr>
            <w:tcW w:w="882" w:type="dxa"/>
            <w:noWrap/>
            <w:vAlign w:val="center"/>
          </w:tcPr>
          <w:p w14:paraId="2F3FFDC1">
            <w:pPr>
              <w:ind w:firstLine="105" w:firstLineChars="50"/>
              <w:jc w:val="center"/>
              <w:rPr>
                <w:rFonts w:ascii="宋体" w:hAnsi="宋体"/>
              </w:rPr>
            </w:pPr>
            <w:r>
              <w:rPr>
                <w:rFonts w:hint="eastAsia" w:ascii="宋体" w:hAnsi="宋体"/>
              </w:rPr>
              <w:t>1</w:t>
            </w:r>
          </w:p>
        </w:tc>
        <w:tc>
          <w:tcPr>
            <w:tcW w:w="850" w:type="dxa"/>
            <w:noWrap/>
            <w:vAlign w:val="center"/>
          </w:tcPr>
          <w:p w14:paraId="12A3766D">
            <w:pPr>
              <w:jc w:val="center"/>
              <w:rPr>
                <w:rFonts w:ascii="宋体" w:hAnsi="宋体"/>
              </w:rPr>
            </w:pPr>
            <w:r>
              <w:rPr>
                <w:rFonts w:hint="eastAsia" w:ascii="宋体" w:hAnsi="宋体"/>
              </w:rPr>
              <w:t>项</w:t>
            </w:r>
          </w:p>
        </w:tc>
        <w:tc>
          <w:tcPr>
            <w:tcW w:w="882" w:type="dxa"/>
            <w:noWrap/>
            <w:vAlign w:val="center"/>
          </w:tcPr>
          <w:p w14:paraId="726A6F72">
            <w:pPr>
              <w:spacing w:line="440" w:lineRule="exact"/>
              <w:jc w:val="center"/>
              <w:rPr>
                <w:rFonts w:ascii="宋体" w:hAnsi="宋体" w:cs="宋体"/>
                <w:szCs w:val="21"/>
              </w:rPr>
            </w:pPr>
          </w:p>
        </w:tc>
        <w:tc>
          <w:tcPr>
            <w:tcW w:w="882" w:type="dxa"/>
            <w:vMerge w:val="continue"/>
            <w:noWrap/>
            <w:vAlign w:val="center"/>
          </w:tcPr>
          <w:p w14:paraId="6C78A575">
            <w:pPr>
              <w:spacing w:line="440" w:lineRule="exact"/>
              <w:jc w:val="center"/>
              <w:rPr>
                <w:rFonts w:ascii="宋体" w:hAnsi="宋体" w:cs="宋体"/>
                <w:szCs w:val="21"/>
              </w:rPr>
            </w:pPr>
          </w:p>
        </w:tc>
      </w:tr>
      <w:tr w14:paraId="7ED1D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395" w:type="dxa"/>
            <w:gridSpan w:val="7"/>
            <w:noWrap/>
          </w:tcPr>
          <w:p w14:paraId="6D3FCC16">
            <w:pPr>
              <w:adjustRightInd w:val="0"/>
              <w:snapToGrid w:val="0"/>
              <w:spacing w:line="360" w:lineRule="exact"/>
              <w:textAlignment w:val="baseline"/>
              <w:rPr>
                <w:rFonts w:ascii="宋体" w:hAnsi="宋体"/>
                <w:b/>
              </w:rPr>
            </w:pPr>
            <w:r>
              <w:rPr>
                <w:rFonts w:hint="eastAsia" w:ascii="宋体" w:hAnsi="宋体"/>
                <w:b/>
              </w:rPr>
              <w:t>备注：报价包括完成本项目全部服务所发生的费用，以及为完成本项目工作所必须的劳务费、编制费、差旅费、资料和数据收集与分析、利润、税金、保险、公安备案等所有相关费用。</w:t>
            </w:r>
          </w:p>
        </w:tc>
      </w:tr>
    </w:tbl>
    <w:p w14:paraId="2D97C105"/>
    <w:p w14:paraId="5BBF224A">
      <w:pPr>
        <w:spacing w:line="500" w:lineRule="exact"/>
        <w:rPr>
          <w:rFonts w:ascii="宋体" w:hAnsi="宋体" w:eastAsia="宋体" w:cs="Times New Roman"/>
          <w:sz w:val="24"/>
          <w:szCs w:val="24"/>
        </w:rPr>
      </w:pPr>
    </w:p>
    <w:p w14:paraId="454ABAC8">
      <w:pPr>
        <w:spacing w:line="500" w:lineRule="exact"/>
        <w:rPr>
          <w:rFonts w:ascii="宋体" w:hAnsi="宋体" w:eastAsia="宋体" w:cs="Times New Roman"/>
          <w:sz w:val="24"/>
          <w:szCs w:val="24"/>
        </w:rPr>
      </w:pPr>
      <w:r>
        <w:rPr>
          <w:rFonts w:hint="eastAsia" w:ascii="宋体" w:hAnsi="宋体" w:eastAsia="宋体" w:cs="Times New Roman"/>
          <w:sz w:val="24"/>
          <w:szCs w:val="24"/>
        </w:rPr>
        <w:t>供应商（加盖公章）：</w:t>
      </w:r>
    </w:p>
    <w:p w14:paraId="06398AAB">
      <w:pPr>
        <w:spacing w:line="500" w:lineRule="exact"/>
        <w:rPr>
          <w:rFonts w:ascii="宋体" w:hAnsi="宋体" w:eastAsia="宋体" w:cs="Times New Roman"/>
          <w:sz w:val="24"/>
          <w:szCs w:val="24"/>
        </w:rPr>
      </w:pPr>
      <w:r>
        <w:rPr>
          <w:rFonts w:hint="eastAsia" w:ascii="宋体" w:hAnsi="宋体" w:eastAsia="宋体" w:cs="Times New Roman"/>
          <w:sz w:val="24"/>
          <w:szCs w:val="24"/>
        </w:rPr>
        <w:t>法定代表人或被授权人（签字或盖章）：</w:t>
      </w:r>
    </w:p>
    <w:p w14:paraId="61BC668D">
      <w:pPr>
        <w:widowControl/>
        <w:spacing w:line="500" w:lineRule="exact"/>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年  月  日</w:t>
      </w:r>
    </w:p>
    <w:p w14:paraId="24BE7586">
      <w:pPr>
        <w:widowControl/>
        <w:spacing w:line="500" w:lineRule="exact"/>
        <w:jc w:val="left"/>
        <w:rPr>
          <w:rFonts w:ascii="宋体" w:hAnsi="宋体" w:eastAsia="宋体" w:cs="Times New Roman"/>
          <w:sz w:val="28"/>
          <w:szCs w:val="28"/>
        </w:rPr>
      </w:pPr>
    </w:p>
    <w:p w14:paraId="74FB6601">
      <w:pPr>
        <w:pStyle w:val="2"/>
      </w:pPr>
    </w:p>
    <w:p w14:paraId="04DAD2D4"/>
    <w:p w14:paraId="464AC2D5">
      <w:pPr>
        <w:pStyle w:val="2"/>
      </w:pPr>
    </w:p>
    <w:p w14:paraId="02D9EECA"/>
    <w:p w14:paraId="76A2021C">
      <w:pPr>
        <w:pStyle w:val="2"/>
      </w:pPr>
    </w:p>
    <w:p w14:paraId="73027C63"/>
    <w:p w14:paraId="6A3FB435">
      <w:pPr>
        <w:pStyle w:val="2"/>
      </w:pPr>
    </w:p>
    <w:p w14:paraId="300077FB"/>
    <w:p w14:paraId="7FA9CCC9">
      <w:pPr>
        <w:pStyle w:val="2"/>
      </w:pPr>
    </w:p>
    <w:p w14:paraId="1B1C145B"/>
    <w:p w14:paraId="3ED087EC">
      <w:pPr>
        <w:pStyle w:val="2"/>
      </w:pPr>
    </w:p>
    <w:p w14:paraId="2CCD8F5A"/>
    <w:p w14:paraId="3E9D90F6">
      <w:pPr>
        <w:pStyle w:val="2"/>
      </w:pPr>
    </w:p>
    <w:p w14:paraId="11A72B8E"/>
    <w:p w14:paraId="0286FB4C">
      <w:pPr>
        <w:pStyle w:val="2"/>
      </w:pPr>
    </w:p>
    <w:p w14:paraId="65202E21"/>
    <w:p w14:paraId="18776BDF">
      <w:pPr>
        <w:pStyle w:val="2"/>
      </w:pPr>
    </w:p>
    <w:p w14:paraId="5FDC38BC">
      <w:pPr>
        <w:widowControl/>
        <w:spacing w:line="500" w:lineRule="exact"/>
        <w:jc w:val="left"/>
        <w:rPr>
          <w:rFonts w:ascii="宋体" w:hAnsi="宋体" w:eastAsia="宋体" w:cs="Times New Roman"/>
          <w:sz w:val="28"/>
          <w:szCs w:val="28"/>
        </w:rPr>
      </w:pPr>
      <w:r>
        <w:rPr>
          <w:rFonts w:hint="eastAsia" w:ascii="宋体" w:hAnsi="宋体" w:eastAsia="宋体" w:cs="Times New Roman"/>
          <w:sz w:val="28"/>
          <w:szCs w:val="28"/>
        </w:rPr>
        <w:t>附件五：</w:t>
      </w:r>
    </w:p>
    <w:p w14:paraId="3E26CD43">
      <w:pPr>
        <w:spacing w:line="380" w:lineRule="exact"/>
        <w:jc w:val="center"/>
        <w:rPr>
          <w:rFonts w:ascii="宋体" w:hAnsi="宋体" w:eastAsia="宋体" w:cs="Times New Roman"/>
          <w:b/>
          <w:sz w:val="32"/>
          <w:szCs w:val="32"/>
        </w:rPr>
      </w:pPr>
      <w:r>
        <w:rPr>
          <w:rFonts w:hint="eastAsia" w:ascii="宋体" w:hAnsi="宋体" w:eastAsia="宋体" w:cs="Times New Roman"/>
          <w:b/>
          <w:sz w:val="32"/>
          <w:szCs w:val="32"/>
        </w:rPr>
        <w:t>最后报价一览表</w:t>
      </w:r>
    </w:p>
    <w:p w14:paraId="1DA94DD7">
      <w:pPr>
        <w:spacing w:after="120" w:line="420" w:lineRule="exact"/>
        <w:rPr>
          <w:rFonts w:ascii="宋体" w:hAnsi="宋体" w:eastAsia="宋体" w:cs="Times New Roman"/>
          <w:sz w:val="24"/>
          <w:szCs w:val="24"/>
          <w:u w:val="single"/>
        </w:rPr>
      </w:pPr>
    </w:p>
    <w:p w14:paraId="4FDAF8E7">
      <w:pPr>
        <w:spacing w:after="120" w:line="420" w:lineRule="exact"/>
        <w:rPr>
          <w:rFonts w:ascii="宋体" w:hAnsi="Times New Roman" w:eastAsia="宋体" w:cs="Times New Roman"/>
          <w:sz w:val="24"/>
          <w:szCs w:val="24"/>
        </w:rPr>
      </w:pPr>
      <w:r>
        <w:rPr>
          <w:rFonts w:hint="eastAsia" w:ascii="宋体" w:hAnsi="宋体" w:eastAsia="宋体" w:cs="Times New Roman"/>
          <w:sz w:val="24"/>
          <w:szCs w:val="24"/>
          <w:u w:val="single"/>
        </w:rPr>
        <w:t>启东市自来水厂有限公司</w:t>
      </w:r>
      <w:r>
        <w:rPr>
          <w:rFonts w:hint="eastAsia" w:ascii="宋体" w:hAnsi="宋体" w:eastAsia="宋体" w:cs="Times New Roman"/>
          <w:sz w:val="24"/>
          <w:szCs w:val="24"/>
        </w:rPr>
        <w:t>：</w:t>
      </w:r>
    </w:p>
    <w:p w14:paraId="0D86228E">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根据</w:t>
      </w:r>
      <w:r>
        <w:rPr>
          <w:rFonts w:hint="eastAsia" w:ascii="宋体" w:hAnsi="宋体" w:eastAsia="宋体" w:cs="Times New Roman"/>
          <w:sz w:val="24"/>
          <w:szCs w:val="24"/>
          <w:u w:val="single"/>
        </w:rPr>
        <w:t>启东市自来水厂有限公司</w:t>
      </w:r>
      <w:r>
        <w:rPr>
          <w:rFonts w:hint="eastAsia" w:ascii="宋体" w:hAnsi="宋体" w:eastAsia="宋体" w:cs="Times New Roman"/>
          <w:sz w:val="24"/>
          <w:szCs w:val="24"/>
          <w:u w:val="single"/>
          <w:lang w:eastAsia="zh-CN"/>
        </w:rPr>
        <w:t>2025-2026</w:t>
      </w:r>
      <w:r>
        <w:rPr>
          <w:rFonts w:hint="eastAsia" w:ascii="宋体" w:hAnsi="宋体" w:eastAsia="宋体" w:cs="Times New Roman"/>
          <w:sz w:val="24"/>
          <w:szCs w:val="24"/>
          <w:u w:val="single"/>
        </w:rPr>
        <w:t>年度收费系统、集抄平台的三级等保测评项目</w:t>
      </w:r>
      <w:r>
        <w:rPr>
          <w:rFonts w:hint="eastAsia" w:ascii="宋体" w:hAnsi="宋体" w:eastAsia="宋体" w:cs="Times New Roman"/>
          <w:sz w:val="24"/>
          <w:szCs w:val="24"/>
        </w:rPr>
        <w:t>谈判文件上明确的各项要求，本人经请示公司领导同意并代表本公司对本项目做出最后报价如下：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524"/>
        <w:gridCol w:w="1420"/>
        <w:gridCol w:w="994"/>
        <w:gridCol w:w="994"/>
        <w:gridCol w:w="1957"/>
      </w:tblGrid>
      <w:tr w14:paraId="0C863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710" w:type="dxa"/>
            <w:noWrap/>
            <w:vAlign w:val="center"/>
          </w:tcPr>
          <w:p w14:paraId="253CAE41">
            <w:pPr>
              <w:jc w:val="center"/>
              <w:rPr>
                <w:rFonts w:ascii="宋体" w:hAnsi="宋体" w:eastAsia="宋体" w:cs="Times New Roman"/>
                <w:szCs w:val="24"/>
              </w:rPr>
            </w:pPr>
            <w:r>
              <w:rPr>
                <w:rFonts w:hint="eastAsia" w:ascii="宋体" w:hAnsi="宋体" w:eastAsia="宋体" w:cs="Times New Roman"/>
                <w:szCs w:val="24"/>
              </w:rPr>
              <w:t>序号</w:t>
            </w:r>
          </w:p>
        </w:tc>
        <w:tc>
          <w:tcPr>
            <w:tcW w:w="2524" w:type="dxa"/>
            <w:noWrap/>
            <w:vAlign w:val="center"/>
          </w:tcPr>
          <w:p w14:paraId="61789AD7">
            <w:pPr>
              <w:jc w:val="center"/>
              <w:rPr>
                <w:rFonts w:ascii="宋体" w:hAnsi="宋体" w:eastAsia="宋体" w:cs="宋体"/>
                <w:bCs/>
                <w:sz w:val="22"/>
              </w:rPr>
            </w:pPr>
            <w:r>
              <w:rPr>
                <w:rFonts w:hint="eastAsia" w:ascii="Times New Roman" w:hAnsi="Times New Roman" w:eastAsia="宋体" w:cs="Times New Roman"/>
                <w:bCs/>
                <w:sz w:val="22"/>
              </w:rPr>
              <w:t>等保测评系统名称</w:t>
            </w:r>
          </w:p>
        </w:tc>
        <w:tc>
          <w:tcPr>
            <w:tcW w:w="1420" w:type="dxa"/>
            <w:noWrap/>
            <w:vAlign w:val="center"/>
          </w:tcPr>
          <w:p w14:paraId="4FC64972">
            <w:pPr>
              <w:jc w:val="center"/>
              <w:rPr>
                <w:rFonts w:ascii="宋体" w:hAnsi="宋体" w:eastAsia="宋体" w:cs="Times New Roman"/>
                <w:szCs w:val="24"/>
              </w:rPr>
            </w:pPr>
            <w:r>
              <w:rPr>
                <w:rFonts w:ascii="宋体" w:hAnsi="宋体" w:eastAsia="宋体" w:cs="Times New Roman"/>
                <w:szCs w:val="24"/>
              </w:rPr>
              <w:t>系统等级</w:t>
            </w:r>
          </w:p>
        </w:tc>
        <w:tc>
          <w:tcPr>
            <w:tcW w:w="994" w:type="dxa"/>
            <w:noWrap/>
            <w:vAlign w:val="center"/>
          </w:tcPr>
          <w:p w14:paraId="2B6DAFD2">
            <w:pPr>
              <w:jc w:val="center"/>
              <w:rPr>
                <w:rFonts w:ascii="宋体" w:hAnsi="宋体" w:eastAsia="宋体" w:cs="Times New Roman"/>
                <w:szCs w:val="24"/>
              </w:rPr>
            </w:pPr>
            <w:r>
              <w:rPr>
                <w:rFonts w:hint="eastAsia" w:ascii="宋体" w:hAnsi="宋体" w:eastAsia="宋体" w:cs="Times New Roman"/>
                <w:szCs w:val="24"/>
              </w:rPr>
              <w:t>数量</w:t>
            </w:r>
          </w:p>
        </w:tc>
        <w:tc>
          <w:tcPr>
            <w:tcW w:w="994" w:type="dxa"/>
            <w:noWrap/>
            <w:vAlign w:val="center"/>
          </w:tcPr>
          <w:p w14:paraId="1D07450D">
            <w:pPr>
              <w:jc w:val="center"/>
              <w:rPr>
                <w:rFonts w:ascii="宋体" w:hAnsi="宋体" w:eastAsia="宋体" w:cs="Times New Roman"/>
                <w:szCs w:val="24"/>
              </w:rPr>
            </w:pPr>
            <w:r>
              <w:rPr>
                <w:rFonts w:hint="eastAsia" w:ascii="宋体" w:hAnsi="宋体" w:eastAsia="宋体" w:cs="Times New Roman"/>
                <w:szCs w:val="24"/>
              </w:rPr>
              <w:t>单位</w:t>
            </w:r>
          </w:p>
        </w:tc>
        <w:tc>
          <w:tcPr>
            <w:tcW w:w="1956" w:type="dxa"/>
            <w:noWrap/>
            <w:vAlign w:val="center"/>
          </w:tcPr>
          <w:p w14:paraId="0CC750A8">
            <w:pPr>
              <w:jc w:val="center"/>
              <w:rPr>
                <w:rFonts w:ascii="宋体" w:hAnsi="宋体" w:eastAsia="宋体" w:cs="Times New Roman"/>
                <w:szCs w:val="24"/>
              </w:rPr>
            </w:pPr>
            <w:r>
              <w:rPr>
                <w:rFonts w:hint="eastAsia" w:ascii="宋体" w:hAnsi="宋体" w:eastAsia="宋体" w:cs="Times New Roman"/>
                <w:szCs w:val="24"/>
              </w:rPr>
              <w:t xml:space="preserve"> 最后报价（元）</w:t>
            </w:r>
          </w:p>
        </w:tc>
      </w:tr>
      <w:tr w14:paraId="45539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710" w:type="dxa"/>
            <w:noWrap/>
            <w:vAlign w:val="center"/>
          </w:tcPr>
          <w:p w14:paraId="0DA13235">
            <w:pPr>
              <w:jc w:val="center"/>
              <w:rPr>
                <w:rFonts w:ascii="宋体" w:hAnsi="宋体" w:eastAsia="宋体" w:cs="Times New Roman"/>
                <w:szCs w:val="24"/>
              </w:rPr>
            </w:pPr>
            <w:r>
              <w:rPr>
                <w:rFonts w:hint="eastAsia"/>
                <w:sz w:val="22"/>
              </w:rPr>
              <w:t>1</w:t>
            </w:r>
          </w:p>
        </w:tc>
        <w:tc>
          <w:tcPr>
            <w:tcW w:w="2524" w:type="dxa"/>
            <w:noWrap/>
            <w:vAlign w:val="center"/>
          </w:tcPr>
          <w:p w14:paraId="43FD6B70">
            <w:pPr>
              <w:jc w:val="center"/>
              <w:rPr>
                <w:rFonts w:ascii="宋体" w:hAnsi="宋体" w:eastAsia="宋体" w:cs="宋体"/>
                <w:b/>
                <w:bCs/>
                <w:sz w:val="22"/>
              </w:rPr>
            </w:pPr>
            <w:r>
              <w:rPr>
                <w:rFonts w:hint="eastAsia"/>
                <w:sz w:val="22"/>
              </w:rPr>
              <w:t>营业收费系统MIS</w:t>
            </w:r>
          </w:p>
        </w:tc>
        <w:tc>
          <w:tcPr>
            <w:tcW w:w="1420" w:type="dxa"/>
            <w:noWrap/>
            <w:vAlign w:val="center"/>
          </w:tcPr>
          <w:p w14:paraId="6D6BF729">
            <w:pPr>
              <w:ind w:firstLine="105" w:firstLineChars="50"/>
              <w:jc w:val="center"/>
              <w:rPr>
                <w:rFonts w:ascii="宋体" w:hAnsi="宋体" w:eastAsia="宋体" w:cs="Times New Roman"/>
                <w:szCs w:val="24"/>
              </w:rPr>
            </w:pPr>
            <w:r>
              <w:rPr>
                <w:rFonts w:ascii="宋体" w:hAnsi="宋体"/>
              </w:rPr>
              <w:t>第三级</w:t>
            </w:r>
          </w:p>
        </w:tc>
        <w:tc>
          <w:tcPr>
            <w:tcW w:w="994" w:type="dxa"/>
            <w:noWrap/>
            <w:vAlign w:val="center"/>
          </w:tcPr>
          <w:p w14:paraId="50FA7406">
            <w:pPr>
              <w:ind w:firstLine="105" w:firstLineChars="50"/>
              <w:jc w:val="center"/>
              <w:rPr>
                <w:rFonts w:ascii="宋体" w:hAnsi="宋体" w:eastAsia="宋体" w:cs="Times New Roman"/>
                <w:szCs w:val="24"/>
              </w:rPr>
            </w:pPr>
            <w:r>
              <w:rPr>
                <w:rFonts w:hint="eastAsia" w:ascii="宋体" w:hAnsi="宋体"/>
              </w:rPr>
              <w:t>1</w:t>
            </w:r>
          </w:p>
        </w:tc>
        <w:tc>
          <w:tcPr>
            <w:tcW w:w="994" w:type="dxa"/>
            <w:noWrap/>
            <w:vAlign w:val="center"/>
          </w:tcPr>
          <w:p w14:paraId="554F4C9C">
            <w:pPr>
              <w:jc w:val="center"/>
              <w:rPr>
                <w:rFonts w:ascii="宋体" w:hAnsi="宋体" w:eastAsia="宋体" w:cs="Times New Roman"/>
                <w:szCs w:val="24"/>
              </w:rPr>
            </w:pPr>
            <w:r>
              <w:rPr>
                <w:rFonts w:hint="eastAsia" w:ascii="宋体" w:hAnsi="宋体"/>
              </w:rPr>
              <w:t>项</w:t>
            </w:r>
          </w:p>
        </w:tc>
        <w:tc>
          <w:tcPr>
            <w:tcW w:w="1956" w:type="dxa"/>
            <w:noWrap/>
            <w:vAlign w:val="center"/>
          </w:tcPr>
          <w:p w14:paraId="0951EE40">
            <w:pPr>
              <w:spacing w:line="440" w:lineRule="exact"/>
              <w:jc w:val="center"/>
              <w:rPr>
                <w:rFonts w:ascii="宋体" w:hAnsi="宋体" w:eastAsia="宋体" w:cs="宋体"/>
                <w:szCs w:val="21"/>
              </w:rPr>
            </w:pPr>
          </w:p>
        </w:tc>
      </w:tr>
      <w:tr w14:paraId="571F6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10" w:type="dxa"/>
            <w:noWrap/>
            <w:vAlign w:val="center"/>
          </w:tcPr>
          <w:p w14:paraId="31BE0F35">
            <w:pPr>
              <w:jc w:val="center"/>
              <w:rPr>
                <w:rFonts w:ascii="宋体" w:hAnsi="宋体" w:eastAsia="宋体" w:cs="Times New Roman"/>
                <w:szCs w:val="24"/>
              </w:rPr>
            </w:pPr>
            <w:r>
              <w:rPr>
                <w:rFonts w:hint="eastAsia"/>
                <w:sz w:val="22"/>
              </w:rPr>
              <w:t>2</w:t>
            </w:r>
          </w:p>
        </w:tc>
        <w:tc>
          <w:tcPr>
            <w:tcW w:w="2524" w:type="dxa"/>
            <w:noWrap/>
            <w:vAlign w:val="center"/>
          </w:tcPr>
          <w:p w14:paraId="38063C9E">
            <w:pPr>
              <w:jc w:val="center"/>
              <w:rPr>
                <w:rFonts w:ascii="宋体" w:hAnsi="宋体" w:eastAsia="宋体" w:cs="宋体"/>
                <w:sz w:val="22"/>
              </w:rPr>
            </w:pPr>
            <w:r>
              <w:rPr>
                <w:rFonts w:hint="eastAsia"/>
                <w:sz w:val="22"/>
              </w:rPr>
              <w:t>集抄平台（含scada系统）</w:t>
            </w:r>
          </w:p>
        </w:tc>
        <w:tc>
          <w:tcPr>
            <w:tcW w:w="1420" w:type="dxa"/>
            <w:noWrap/>
            <w:vAlign w:val="center"/>
          </w:tcPr>
          <w:p w14:paraId="635F2768">
            <w:pPr>
              <w:ind w:firstLine="105" w:firstLineChars="50"/>
              <w:jc w:val="center"/>
              <w:rPr>
                <w:rFonts w:ascii="宋体" w:hAnsi="宋体" w:eastAsia="宋体" w:cs="Times New Roman"/>
                <w:szCs w:val="24"/>
              </w:rPr>
            </w:pPr>
            <w:r>
              <w:rPr>
                <w:rFonts w:ascii="宋体" w:hAnsi="宋体"/>
              </w:rPr>
              <w:t>第三级</w:t>
            </w:r>
          </w:p>
        </w:tc>
        <w:tc>
          <w:tcPr>
            <w:tcW w:w="994" w:type="dxa"/>
            <w:noWrap/>
            <w:vAlign w:val="center"/>
          </w:tcPr>
          <w:p w14:paraId="59F789A4">
            <w:pPr>
              <w:ind w:firstLine="105" w:firstLineChars="50"/>
              <w:jc w:val="center"/>
              <w:rPr>
                <w:rFonts w:ascii="宋体" w:hAnsi="宋体" w:eastAsia="宋体" w:cs="Times New Roman"/>
                <w:szCs w:val="24"/>
              </w:rPr>
            </w:pPr>
            <w:r>
              <w:rPr>
                <w:rFonts w:hint="eastAsia" w:ascii="宋体" w:hAnsi="宋体"/>
              </w:rPr>
              <w:t>1</w:t>
            </w:r>
          </w:p>
        </w:tc>
        <w:tc>
          <w:tcPr>
            <w:tcW w:w="994" w:type="dxa"/>
            <w:noWrap/>
            <w:vAlign w:val="center"/>
          </w:tcPr>
          <w:p w14:paraId="3DD2609B">
            <w:pPr>
              <w:jc w:val="center"/>
              <w:rPr>
                <w:rFonts w:ascii="宋体" w:hAnsi="宋体" w:eastAsia="宋体" w:cs="Times New Roman"/>
                <w:szCs w:val="24"/>
              </w:rPr>
            </w:pPr>
            <w:r>
              <w:rPr>
                <w:rFonts w:hint="eastAsia" w:ascii="宋体" w:hAnsi="宋体"/>
              </w:rPr>
              <w:t>项</w:t>
            </w:r>
          </w:p>
        </w:tc>
        <w:tc>
          <w:tcPr>
            <w:tcW w:w="1956" w:type="dxa"/>
            <w:noWrap/>
            <w:vAlign w:val="center"/>
          </w:tcPr>
          <w:p w14:paraId="2021555D">
            <w:pPr>
              <w:spacing w:line="440" w:lineRule="exact"/>
              <w:jc w:val="center"/>
              <w:rPr>
                <w:rFonts w:ascii="宋体" w:hAnsi="宋体" w:eastAsia="宋体" w:cs="宋体"/>
                <w:szCs w:val="21"/>
              </w:rPr>
            </w:pPr>
          </w:p>
        </w:tc>
      </w:tr>
      <w:tr w14:paraId="47053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710" w:type="dxa"/>
            <w:noWrap/>
            <w:vAlign w:val="center"/>
          </w:tcPr>
          <w:p w14:paraId="55C66912">
            <w:pPr>
              <w:jc w:val="center"/>
              <w:rPr>
                <w:rFonts w:ascii="宋体" w:hAnsi="宋体" w:eastAsia="宋体" w:cs="Times New Roman"/>
                <w:szCs w:val="24"/>
              </w:rPr>
            </w:pPr>
            <w:r>
              <w:rPr>
                <w:rFonts w:hint="eastAsia"/>
                <w:sz w:val="22"/>
              </w:rPr>
              <w:t>3</w:t>
            </w:r>
          </w:p>
        </w:tc>
        <w:tc>
          <w:tcPr>
            <w:tcW w:w="2524" w:type="dxa"/>
            <w:noWrap/>
            <w:vAlign w:val="center"/>
          </w:tcPr>
          <w:p w14:paraId="33C90277">
            <w:pPr>
              <w:jc w:val="center"/>
              <w:rPr>
                <w:rFonts w:ascii="宋体" w:hAnsi="宋体" w:eastAsia="宋体" w:cs="宋体"/>
                <w:sz w:val="22"/>
              </w:rPr>
            </w:pPr>
            <w:r>
              <w:rPr>
                <w:rFonts w:hint="eastAsia"/>
                <w:sz w:val="22"/>
              </w:rPr>
              <w:t>增值服务</w:t>
            </w:r>
          </w:p>
        </w:tc>
        <w:tc>
          <w:tcPr>
            <w:tcW w:w="1420" w:type="dxa"/>
            <w:noWrap/>
            <w:vAlign w:val="center"/>
          </w:tcPr>
          <w:p w14:paraId="40D547C1">
            <w:pPr>
              <w:ind w:firstLine="105" w:firstLineChars="50"/>
              <w:jc w:val="center"/>
              <w:rPr>
                <w:rFonts w:ascii="宋体" w:hAnsi="宋体" w:eastAsia="宋体" w:cs="Times New Roman"/>
                <w:szCs w:val="24"/>
              </w:rPr>
            </w:pPr>
            <w:r>
              <w:rPr>
                <w:rFonts w:hint="eastAsia" w:ascii="宋体" w:hAnsi="宋体"/>
              </w:rPr>
              <w:t>/</w:t>
            </w:r>
          </w:p>
        </w:tc>
        <w:tc>
          <w:tcPr>
            <w:tcW w:w="994" w:type="dxa"/>
            <w:noWrap/>
            <w:vAlign w:val="center"/>
          </w:tcPr>
          <w:p w14:paraId="61C6F5AC">
            <w:pPr>
              <w:ind w:firstLine="105" w:firstLineChars="50"/>
              <w:jc w:val="center"/>
              <w:rPr>
                <w:rFonts w:ascii="宋体" w:hAnsi="宋体" w:eastAsia="宋体" w:cs="Times New Roman"/>
                <w:szCs w:val="24"/>
              </w:rPr>
            </w:pPr>
            <w:r>
              <w:rPr>
                <w:rFonts w:hint="eastAsia" w:ascii="宋体" w:hAnsi="宋体"/>
              </w:rPr>
              <w:t>1</w:t>
            </w:r>
          </w:p>
        </w:tc>
        <w:tc>
          <w:tcPr>
            <w:tcW w:w="994" w:type="dxa"/>
            <w:noWrap/>
            <w:vAlign w:val="center"/>
          </w:tcPr>
          <w:p w14:paraId="30DA38CA">
            <w:pPr>
              <w:jc w:val="center"/>
              <w:rPr>
                <w:rFonts w:ascii="宋体" w:hAnsi="宋体" w:eastAsia="宋体" w:cs="Times New Roman"/>
                <w:szCs w:val="24"/>
              </w:rPr>
            </w:pPr>
            <w:r>
              <w:rPr>
                <w:rFonts w:hint="eastAsia" w:ascii="宋体" w:hAnsi="宋体"/>
              </w:rPr>
              <w:t>项</w:t>
            </w:r>
          </w:p>
        </w:tc>
        <w:tc>
          <w:tcPr>
            <w:tcW w:w="1956" w:type="dxa"/>
            <w:noWrap/>
            <w:vAlign w:val="center"/>
          </w:tcPr>
          <w:p w14:paraId="4EB6B303">
            <w:pPr>
              <w:spacing w:line="440" w:lineRule="exact"/>
              <w:jc w:val="center"/>
              <w:rPr>
                <w:rFonts w:ascii="宋体" w:hAnsi="宋体" w:eastAsia="宋体" w:cs="宋体"/>
                <w:szCs w:val="21"/>
              </w:rPr>
            </w:pPr>
          </w:p>
        </w:tc>
      </w:tr>
      <w:tr w14:paraId="2F457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8599" w:type="dxa"/>
            <w:gridSpan w:val="6"/>
            <w:noWrap/>
            <w:vAlign w:val="center"/>
          </w:tcPr>
          <w:p w14:paraId="40D9EFC0">
            <w:pPr>
              <w:adjustRightInd w:val="0"/>
              <w:snapToGrid w:val="0"/>
              <w:spacing w:line="360" w:lineRule="exact"/>
              <w:textAlignment w:val="baseline"/>
              <w:rPr>
                <w:rFonts w:ascii="宋体" w:hAnsi="宋体" w:eastAsia="宋体" w:cs="Times New Roman"/>
                <w:b/>
                <w:szCs w:val="24"/>
              </w:rPr>
            </w:pPr>
            <w:r>
              <w:rPr>
                <w:rFonts w:ascii="宋体" w:hAnsi="宋体" w:eastAsia="宋体" w:cs="Times New Roman"/>
                <w:b/>
                <w:szCs w:val="24"/>
              </w:rPr>
              <w:t>最后报价总价：</w:t>
            </w:r>
            <w:r>
              <w:rPr>
                <w:rFonts w:ascii="宋体" w:hAnsi="宋体" w:eastAsia="宋体" w:cs="Times New Roman"/>
                <w:b/>
                <w:szCs w:val="24"/>
                <w:u w:val="single"/>
              </w:rPr>
              <w:t>大写：</w:t>
            </w:r>
            <w:r>
              <w:rPr>
                <w:rFonts w:hint="eastAsia" w:ascii="宋体" w:hAnsi="宋体" w:eastAsia="宋体" w:cs="Times New Roman"/>
                <w:b/>
                <w:szCs w:val="24"/>
                <w:u w:val="single"/>
              </w:rPr>
              <w:t xml:space="preserve">                       （¥：         元）</w:t>
            </w:r>
          </w:p>
        </w:tc>
      </w:tr>
      <w:tr w14:paraId="3C69D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8599" w:type="dxa"/>
            <w:gridSpan w:val="6"/>
            <w:noWrap/>
            <w:vAlign w:val="center"/>
          </w:tcPr>
          <w:p w14:paraId="456B71DF">
            <w:pPr>
              <w:adjustRightInd w:val="0"/>
              <w:snapToGrid w:val="0"/>
              <w:spacing w:line="360" w:lineRule="exact"/>
              <w:textAlignment w:val="baseline"/>
              <w:rPr>
                <w:rFonts w:ascii="宋体" w:hAnsi="宋体" w:eastAsia="宋体" w:cs="Times New Roman"/>
                <w:b/>
                <w:szCs w:val="24"/>
              </w:rPr>
            </w:pPr>
            <w:r>
              <w:rPr>
                <w:rFonts w:hint="eastAsia" w:ascii="宋体" w:hAnsi="宋体"/>
                <w:b/>
              </w:rPr>
              <w:t>备注：报价包括完成本项目全部服务所发生的费用，以及为完成本项目工作所必须的劳务费、编制费、差旅费、资料和数据收集与分析、利润、税金、保险、公安备案等所有相关费用。</w:t>
            </w:r>
          </w:p>
        </w:tc>
      </w:tr>
    </w:tbl>
    <w:p w14:paraId="074A79B7">
      <w:pPr>
        <w:spacing w:line="500" w:lineRule="exact"/>
        <w:ind w:firstLine="480" w:firstLineChars="200"/>
        <w:jc w:val="left"/>
        <w:outlineLvl w:val="0"/>
        <w:rPr>
          <w:rFonts w:ascii="宋体" w:hAnsi="宋体" w:eastAsia="宋体" w:cs="宋体"/>
          <w:kern w:val="0"/>
          <w:sz w:val="24"/>
          <w:szCs w:val="24"/>
          <w:lang w:val="zh-CN"/>
        </w:rPr>
      </w:pPr>
    </w:p>
    <w:p w14:paraId="08B2277E">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相关补充说明：（如有）</w:t>
      </w:r>
    </w:p>
    <w:p w14:paraId="2C1A0F35">
      <w:pPr>
        <w:spacing w:after="120" w:line="420" w:lineRule="exact"/>
        <w:ind w:firstLine="480" w:firstLineChars="200"/>
        <w:rPr>
          <w:rFonts w:ascii="宋体" w:hAnsi="Times New Roman" w:eastAsia="宋体" w:cs="Times New Roman"/>
          <w:sz w:val="24"/>
          <w:szCs w:val="24"/>
        </w:rPr>
      </w:pPr>
    </w:p>
    <w:p w14:paraId="2EC46C57">
      <w:pPr>
        <w:spacing w:after="120" w:line="420" w:lineRule="exact"/>
        <w:ind w:firstLine="480" w:firstLineChars="200"/>
        <w:rPr>
          <w:rFonts w:ascii="宋体" w:hAnsi="Times New Roman" w:eastAsia="宋体" w:cs="Times New Roman"/>
          <w:sz w:val="24"/>
          <w:szCs w:val="24"/>
        </w:rPr>
      </w:pPr>
    </w:p>
    <w:p w14:paraId="7978FFB4">
      <w:pPr>
        <w:spacing w:after="120" w:line="420" w:lineRule="exact"/>
        <w:ind w:firstLine="480" w:firstLineChars="200"/>
        <w:rPr>
          <w:rFonts w:ascii="宋体" w:hAnsi="Times New Roman" w:eastAsia="宋体" w:cs="Times New Roman"/>
          <w:sz w:val="24"/>
          <w:szCs w:val="24"/>
        </w:rPr>
      </w:pPr>
      <w:r>
        <w:rPr>
          <w:rFonts w:hint="eastAsia" w:ascii="宋体" w:hAnsi="宋体" w:eastAsia="宋体" w:cs="宋体"/>
          <w:sz w:val="24"/>
          <w:szCs w:val="24"/>
        </w:rPr>
        <w:t>供应商</w:t>
      </w:r>
      <w:r>
        <w:rPr>
          <w:rFonts w:hint="eastAsia" w:ascii="宋体" w:hAnsi="宋体" w:eastAsia="宋体" w:cs="Times New Roman"/>
          <w:sz w:val="24"/>
          <w:szCs w:val="24"/>
        </w:rPr>
        <w:t>（加盖公章）：</w:t>
      </w:r>
    </w:p>
    <w:p w14:paraId="253286AA">
      <w:pPr>
        <w:spacing w:after="120" w:line="420" w:lineRule="exact"/>
        <w:ind w:firstLine="480" w:firstLineChars="200"/>
        <w:rPr>
          <w:rFonts w:ascii="宋体" w:hAnsi="Times New Roman" w:eastAsia="宋体" w:cs="Times New Roman"/>
          <w:sz w:val="24"/>
          <w:szCs w:val="24"/>
        </w:rPr>
      </w:pPr>
      <w:r>
        <w:rPr>
          <w:rFonts w:hint="eastAsia" w:ascii="宋体" w:hAnsi="宋体" w:eastAsia="宋体" w:cs="Times New Roman"/>
          <w:sz w:val="24"/>
          <w:szCs w:val="24"/>
        </w:rPr>
        <w:t>法定代表人或被授权人（签字或盖章）：</w:t>
      </w:r>
    </w:p>
    <w:p w14:paraId="62B64C55">
      <w:pPr>
        <w:spacing w:after="120" w:line="4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日期：     年    月   日</w:t>
      </w:r>
    </w:p>
    <w:p w14:paraId="63476FF7">
      <w:pPr>
        <w:pStyle w:val="2"/>
        <w:rPr>
          <w:sz w:val="24"/>
          <w:szCs w:val="24"/>
        </w:rPr>
      </w:pPr>
    </w:p>
    <w:p w14:paraId="17528CCF">
      <w:pPr>
        <w:ind w:firstLine="482" w:firstLineChars="200"/>
        <w:jc w:val="left"/>
        <w:rPr>
          <w:rFonts w:ascii="宋体" w:hAnsi="宋体" w:eastAsia="宋体" w:cs="Times New Roman"/>
          <w:b/>
          <w:bCs/>
          <w:color w:val="000000" w:themeColor="text1"/>
          <w:sz w:val="24"/>
          <w:szCs w:val="24"/>
        </w:rPr>
      </w:pPr>
      <w:r>
        <w:rPr>
          <w:rFonts w:hint="eastAsia" w:ascii="宋体" w:hAnsi="宋体" w:eastAsia="宋体" w:cs="Times New Roman"/>
          <w:b/>
          <w:bCs/>
          <w:color w:val="000000" w:themeColor="text1"/>
          <w:sz w:val="24"/>
          <w:szCs w:val="24"/>
        </w:rPr>
        <w:t>说明：供应商可按以上格式制作“最后报价一览表”，提前加盖公章，须在开标现场填写最后报价。</w:t>
      </w:r>
    </w:p>
    <w:p w14:paraId="45DC5831">
      <w:pPr>
        <w:pStyle w:val="2"/>
      </w:pPr>
    </w:p>
    <w:p w14:paraId="22D0739D"/>
    <w:p w14:paraId="367AD199">
      <w:pPr>
        <w:jc w:val="left"/>
        <w:rPr>
          <w:rFonts w:ascii="宋体" w:hAnsi="宋体" w:eastAsia="宋体" w:cs="宋体"/>
          <w:sz w:val="28"/>
          <w:szCs w:val="28"/>
        </w:rPr>
      </w:pPr>
    </w:p>
    <w:p w14:paraId="66C08C8D">
      <w:pPr>
        <w:jc w:val="left"/>
        <w:rPr>
          <w:rFonts w:cs="宋体" w:asciiTheme="minorEastAsia" w:hAnsiTheme="minorEastAsia"/>
          <w:sz w:val="28"/>
          <w:szCs w:val="28"/>
        </w:rPr>
      </w:pPr>
      <w:r>
        <w:rPr>
          <w:rFonts w:hint="eastAsia" w:ascii="宋体" w:hAnsi="宋体" w:eastAsia="宋体" w:cs="宋体"/>
          <w:sz w:val="28"/>
          <w:szCs w:val="28"/>
        </w:rPr>
        <w:t>附件六：</w:t>
      </w:r>
    </w:p>
    <w:p w14:paraId="22108FA7">
      <w:pPr>
        <w:ind w:firstLine="643"/>
        <w:jc w:val="center"/>
        <w:rPr>
          <w:rFonts w:ascii="宋体" w:hAnsi="宋体" w:cs="宋体"/>
          <w:b/>
          <w:bCs/>
          <w:sz w:val="28"/>
          <w:szCs w:val="28"/>
        </w:rPr>
      </w:pPr>
      <w:r>
        <w:rPr>
          <w:rFonts w:hint="eastAsia" w:ascii="宋体" w:hAnsi="宋体" w:cs="宋体"/>
          <w:b/>
          <w:bCs/>
          <w:sz w:val="28"/>
          <w:szCs w:val="28"/>
        </w:rPr>
        <w:t>质疑函范本</w:t>
      </w:r>
    </w:p>
    <w:p w14:paraId="13426BF9">
      <w:pPr>
        <w:adjustRightInd w:val="0"/>
        <w:snapToGrid w:val="0"/>
        <w:spacing w:beforeLines="100" w:line="360" w:lineRule="auto"/>
        <w:ind w:firstLine="480"/>
        <w:rPr>
          <w:rFonts w:ascii="宋体" w:hAnsi="宋体" w:cs="宋体"/>
          <w:bCs/>
          <w:sz w:val="24"/>
        </w:rPr>
      </w:pPr>
      <w:r>
        <w:rPr>
          <w:rFonts w:hint="eastAsia" w:ascii="宋体" w:hAnsi="宋体" w:cs="宋体"/>
          <w:bCs/>
          <w:sz w:val="24"/>
        </w:rPr>
        <w:t>一、质疑供应商基本信息</w:t>
      </w:r>
    </w:p>
    <w:p w14:paraId="5372629E">
      <w:pPr>
        <w:adjustRightInd w:val="0"/>
        <w:snapToGrid w:val="0"/>
        <w:spacing w:line="360" w:lineRule="auto"/>
        <w:ind w:firstLine="480"/>
        <w:rPr>
          <w:rFonts w:ascii="宋体" w:hAnsi="宋体" w:cs="宋体"/>
          <w:sz w:val="24"/>
          <w:u w:val="dotted"/>
        </w:rPr>
      </w:pPr>
      <w:r>
        <w:rPr>
          <w:rFonts w:hint="eastAsia" w:ascii="宋体" w:hAnsi="宋体" w:cs="宋体"/>
          <w:sz w:val="24"/>
        </w:rPr>
        <w:t>质疑供应商：</w:t>
      </w:r>
    </w:p>
    <w:p w14:paraId="39B3D955">
      <w:pPr>
        <w:adjustRightInd w:val="0"/>
        <w:snapToGrid w:val="0"/>
        <w:spacing w:line="360" w:lineRule="auto"/>
        <w:ind w:firstLine="480"/>
        <w:rPr>
          <w:rFonts w:ascii="宋体" w:hAnsi="宋体" w:cs="宋体"/>
          <w:sz w:val="24"/>
        </w:rPr>
      </w:pPr>
      <w:r>
        <w:rPr>
          <w:rFonts w:hint="eastAsia" w:ascii="宋体" w:hAnsi="宋体" w:cs="宋体"/>
          <w:sz w:val="24"/>
        </w:rPr>
        <w:t xml:space="preserve">地址：                        邮编：                                    </w:t>
      </w:r>
    </w:p>
    <w:p w14:paraId="52242188">
      <w:pPr>
        <w:adjustRightInd w:val="0"/>
        <w:snapToGrid w:val="0"/>
        <w:spacing w:line="360" w:lineRule="auto"/>
        <w:ind w:firstLine="480"/>
        <w:rPr>
          <w:rFonts w:ascii="宋体" w:hAnsi="宋体" w:cs="宋体"/>
          <w:sz w:val="24"/>
        </w:rPr>
      </w:pPr>
      <w:r>
        <w:rPr>
          <w:rFonts w:hint="eastAsia" w:ascii="宋体" w:hAnsi="宋体" w:cs="宋体"/>
          <w:sz w:val="24"/>
        </w:rPr>
        <w:t xml:space="preserve">联系人：                      联系电话：                                       </w:t>
      </w:r>
    </w:p>
    <w:p w14:paraId="75730984">
      <w:pPr>
        <w:adjustRightInd w:val="0"/>
        <w:snapToGrid w:val="0"/>
        <w:spacing w:line="360" w:lineRule="auto"/>
        <w:ind w:firstLine="480"/>
        <w:rPr>
          <w:rFonts w:ascii="宋体" w:hAnsi="宋体" w:cs="宋体"/>
          <w:sz w:val="24"/>
        </w:rPr>
      </w:pPr>
      <w:r>
        <w:rPr>
          <w:rFonts w:hint="eastAsia" w:ascii="宋体" w:hAnsi="宋体" w:cs="宋体"/>
          <w:sz w:val="24"/>
        </w:rPr>
        <w:t xml:space="preserve">授权代表：                                                                 </w:t>
      </w:r>
    </w:p>
    <w:p w14:paraId="74E53A62">
      <w:pPr>
        <w:adjustRightInd w:val="0"/>
        <w:snapToGrid w:val="0"/>
        <w:spacing w:line="360" w:lineRule="auto"/>
        <w:ind w:firstLine="480"/>
        <w:rPr>
          <w:rFonts w:ascii="宋体" w:hAnsi="宋体" w:cs="宋体"/>
          <w:sz w:val="24"/>
        </w:rPr>
      </w:pPr>
      <w:r>
        <w:rPr>
          <w:rFonts w:hint="eastAsia" w:ascii="宋体" w:hAnsi="宋体" w:cs="宋体"/>
          <w:sz w:val="24"/>
        </w:rPr>
        <w:t xml:space="preserve">联系电话：                                                                </w:t>
      </w:r>
    </w:p>
    <w:p w14:paraId="3F2E84A8">
      <w:pPr>
        <w:adjustRightInd w:val="0"/>
        <w:snapToGrid w:val="0"/>
        <w:spacing w:line="360" w:lineRule="auto"/>
        <w:ind w:firstLine="480"/>
        <w:rPr>
          <w:rFonts w:ascii="宋体" w:hAnsi="宋体" w:cs="宋体"/>
          <w:sz w:val="24"/>
        </w:rPr>
      </w:pPr>
      <w:r>
        <w:rPr>
          <w:rFonts w:hint="eastAsia" w:ascii="宋体" w:hAnsi="宋体" w:cs="宋体"/>
          <w:sz w:val="24"/>
        </w:rPr>
        <w:t xml:space="preserve">地址：                         邮编：                                     </w:t>
      </w:r>
    </w:p>
    <w:p w14:paraId="6ED7E0CA">
      <w:pPr>
        <w:adjustRightInd w:val="0"/>
        <w:snapToGrid w:val="0"/>
        <w:spacing w:line="360" w:lineRule="auto"/>
        <w:ind w:firstLine="480"/>
        <w:rPr>
          <w:rFonts w:ascii="宋体" w:hAnsi="宋体" w:cs="宋体"/>
          <w:bCs/>
          <w:sz w:val="24"/>
        </w:rPr>
      </w:pPr>
      <w:r>
        <w:rPr>
          <w:rFonts w:hint="eastAsia" w:ascii="宋体" w:hAnsi="宋体" w:cs="宋体"/>
          <w:bCs/>
          <w:sz w:val="24"/>
        </w:rPr>
        <w:t>二、质疑项目基本情况</w:t>
      </w:r>
    </w:p>
    <w:p w14:paraId="0B07E97F">
      <w:pPr>
        <w:adjustRightInd w:val="0"/>
        <w:snapToGrid w:val="0"/>
        <w:spacing w:line="360" w:lineRule="auto"/>
        <w:ind w:firstLine="480"/>
        <w:rPr>
          <w:rFonts w:ascii="宋体" w:hAnsi="宋体" w:cs="宋体"/>
          <w:sz w:val="24"/>
        </w:rPr>
      </w:pPr>
      <w:r>
        <w:rPr>
          <w:rFonts w:hint="eastAsia" w:ascii="宋体" w:hAnsi="宋体" w:cs="宋体"/>
          <w:sz w:val="24"/>
        </w:rPr>
        <w:t xml:space="preserve">质疑项目的名称：                                                          </w:t>
      </w:r>
    </w:p>
    <w:p w14:paraId="21240923">
      <w:pPr>
        <w:adjustRightInd w:val="0"/>
        <w:snapToGrid w:val="0"/>
        <w:spacing w:line="360" w:lineRule="auto"/>
        <w:ind w:firstLine="480"/>
        <w:rPr>
          <w:rFonts w:ascii="宋体" w:hAnsi="宋体" w:cs="宋体"/>
          <w:sz w:val="24"/>
        </w:rPr>
      </w:pPr>
      <w:r>
        <w:rPr>
          <w:rFonts w:hint="eastAsia" w:ascii="宋体" w:hAnsi="宋体" w:cs="宋体"/>
          <w:sz w:val="24"/>
        </w:rPr>
        <w:t>质疑项目的编号：                         包号：</w:t>
      </w:r>
    </w:p>
    <w:p w14:paraId="1D71456D">
      <w:pPr>
        <w:adjustRightInd w:val="0"/>
        <w:snapToGrid w:val="0"/>
        <w:spacing w:line="360" w:lineRule="auto"/>
        <w:ind w:firstLine="480"/>
        <w:rPr>
          <w:rFonts w:ascii="宋体" w:hAnsi="宋体" w:cs="宋体"/>
          <w:sz w:val="24"/>
          <w:u w:val="dotted"/>
        </w:rPr>
      </w:pPr>
      <w:r>
        <w:rPr>
          <w:rFonts w:hint="eastAsia" w:ascii="宋体" w:hAnsi="宋体" w:cs="宋体"/>
          <w:sz w:val="24"/>
        </w:rPr>
        <w:t>采购人名称：</w:t>
      </w:r>
    </w:p>
    <w:p w14:paraId="4CFEB94C">
      <w:pPr>
        <w:adjustRightInd w:val="0"/>
        <w:snapToGrid w:val="0"/>
        <w:spacing w:line="360" w:lineRule="auto"/>
        <w:ind w:firstLine="480"/>
        <w:rPr>
          <w:rFonts w:ascii="宋体" w:hAnsi="宋体" w:cs="宋体"/>
          <w:sz w:val="24"/>
        </w:rPr>
      </w:pPr>
      <w:r>
        <w:rPr>
          <w:rFonts w:hint="eastAsia" w:ascii="宋体" w:hAnsi="宋体" w:cs="宋体"/>
          <w:sz w:val="24"/>
        </w:rPr>
        <w:t>采购文件获取日期：</w:t>
      </w:r>
    </w:p>
    <w:p w14:paraId="1F784D68">
      <w:pPr>
        <w:adjustRightInd w:val="0"/>
        <w:snapToGrid w:val="0"/>
        <w:spacing w:line="360" w:lineRule="auto"/>
        <w:ind w:firstLine="480"/>
        <w:rPr>
          <w:rFonts w:ascii="宋体" w:hAnsi="宋体" w:cs="宋体"/>
          <w:bCs/>
          <w:sz w:val="24"/>
        </w:rPr>
      </w:pPr>
      <w:r>
        <w:rPr>
          <w:rFonts w:hint="eastAsia" w:ascii="宋体" w:hAnsi="宋体" w:cs="宋体"/>
          <w:bCs/>
          <w:sz w:val="24"/>
        </w:rPr>
        <w:t>三、质疑事项具体内容</w:t>
      </w:r>
    </w:p>
    <w:p w14:paraId="5692DAF3">
      <w:pPr>
        <w:adjustRightInd w:val="0"/>
        <w:snapToGrid w:val="0"/>
        <w:spacing w:line="360" w:lineRule="auto"/>
        <w:ind w:firstLine="480"/>
        <w:rPr>
          <w:rFonts w:ascii="宋体" w:hAnsi="宋体" w:cs="宋体"/>
          <w:sz w:val="24"/>
          <w:u w:val="dotted"/>
        </w:rPr>
      </w:pPr>
      <w:r>
        <w:rPr>
          <w:rFonts w:hint="eastAsia" w:ascii="宋体" w:hAnsi="宋体" w:cs="宋体"/>
          <w:sz w:val="24"/>
        </w:rPr>
        <w:t>质疑事项1：</w:t>
      </w:r>
    </w:p>
    <w:p w14:paraId="369433CB">
      <w:pPr>
        <w:adjustRightInd w:val="0"/>
        <w:snapToGrid w:val="0"/>
        <w:spacing w:line="360" w:lineRule="auto"/>
        <w:ind w:firstLine="480"/>
        <w:rPr>
          <w:rFonts w:ascii="宋体" w:hAnsi="宋体" w:cs="宋体"/>
          <w:sz w:val="24"/>
          <w:u w:val="dotted"/>
        </w:rPr>
      </w:pPr>
      <w:r>
        <w:rPr>
          <w:rFonts w:hint="eastAsia" w:ascii="宋体" w:hAnsi="宋体" w:cs="宋体"/>
          <w:sz w:val="24"/>
        </w:rPr>
        <w:t>事实依据：</w:t>
      </w:r>
    </w:p>
    <w:p w14:paraId="461CE32C">
      <w:pPr>
        <w:adjustRightInd w:val="0"/>
        <w:snapToGrid w:val="0"/>
        <w:spacing w:line="360" w:lineRule="auto"/>
        <w:ind w:firstLine="480"/>
        <w:rPr>
          <w:rFonts w:ascii="宋体" w:hAnsi="宋体" w:cs="宋体"/>
          <w:sz w:val="24"/>
        </w:rPr>
      </w:pPr>
    </w:p>
    <w:p w14:paraId="674C51B9">
      <w:pPr>
        <w:adjustRightInd w:val="0"/>
        <w:snapToGrid w:val="0"/>
        <w:spacing w:line="360" w:lineRule="auto"/>
        <w:ind w:firstLine="480"/>
        <w:rPr>
          <w:rFonts w:ascii="宋体" w:hAnsi="宋体" w:cs="宋体"/>
          <w:sz w:val="24"/>
          <w:u w:val="dotted"/>
        </w:rPr>
      </w:pPr>
      <w:r>
        <w:rPr>
          <w:rFonts w:hint="eastAsia" w:ascii="宋体" w:hAnsi="宋体" w:cs="宋体"/>
          <w:sz w:val="24"/>
        </w:rPr>
        <w:t>法律依据：</w:t>
      </w:r>
    </w:p>
    <w:p w14:paraId="24010061">
      <w:pPr>
        <w:adjustRightInd w:val="0"/>
        <w:snapToGrid w:val="0"/>
        <w:spacing w:line="360" w:lineRule="auto"/>
        <w:ind w:firstLine="480"/>
        <w:rPr>
          <w:rFonts w:ascii="宋体" w:hAnsi="宋体" w:cs="宋体"/>
          <w:sz w:val="24"/>
          <w:u w:val="dotted"/>
        </w:rPr>
      </w:pPr>
    </w:p>
    <w:p w14:paraId="48B949C7">
      <w:pPr>
        <w:adjustRightInd w:val="0"/>
        <w:snapToGrid w:val="0"/>
        <w:spacing w:line="360" w:lineRule="auto"/>
        <w:ind w:firstLine="480"/>
        <w:rPr>
          <w:rFonts w:ascii="宋体" w:hAnsi="宋体" w:cs="宋体"/>
          <w:sz w:val="24"/>
          <w:u w:val="dotted"/>
        </w:rPr>
      </w:pPr>
      <w:r>
        <w:rPr>
          <w:rFonts w:hint="eastAsia" w:ascii="宋体" w:hAnsi="宋体" w:cs="宋体"/>
          <w:sz w:val="24"/>
        </w:rPr>
        <w:t>质疑事项2</w:t>
      </w:r>
    </w:p>
    <w:p w14:paraId="13651440">
      <w:pPr>
        <w:adjustRightInd w:val="0"/>
        <w:snapToGrid w:val="0"/>
        <w:spacing w:line="360" w:lineRule="auto"/>
        <w:ind w:firstLine="480"/>
        <w:rPr>
          <w:rFonts w:ascii="宋体" w:hAnsi="宋体" w:cs="宋体"/>
          <w:sz w:val="24"/>
        </w:rPr>
      </w:pPr>
      <w:r>
        <w:rPr>
          <w:rFonts w:hint="eastAsia" w:ascii="宋体" w:hAnsi="宋体" w:cs="宋体"/>
          <w:sz w:val="24"/>
        </w:rPr>
        <w:t>……</w:t>
      </w:r>
    </w:p>
    <w:p w14:paraId="5E44133B">
      <w:pPr>
        <w:adjustRightInd w:val="0"/>
        <w:snapToGrid w:val="0"/>
        <w:spacing w:line="360" w:lineRule="auto"/>
        <w:ind w:firstLine="480"/>
        <w:rPr>
          <w:rFonts w:ascii="宋体" w:hAnsi="宋体" w:cs="宋体"/>
          <w:bCs/>
          <w:sz w:val="24"/>
        </w:rPr>
      </w:pPr>
      <w:r>
        <w:rPr>
          <w:rFonts w:hint="eastAsia" w:ascii="宋体" w:hAnsi="宋体" w:cs="宋体"/>
          <w:bCs/>
          <w:sz w:val="24"/>
        </w:rPr>
        <w:t>四、与质疑事项相关的质疑请求</w:t>
      </w:r>
    </w:p>
    <w:p w14:paraId="280705F0">
      <w:pPr>
        <w:adjustRightInd w:val="0"/>
        <w:snapToGrid w:val="0"/>
        <w:spacing w:line="360" w:lineRule="auto"/>
        <w:ind w:firstLine="480"/>
        <w:rPr>
          <w:rFonts w:ascii="宋体" w:hAnsi="宋体" w:cs="宋体"/>
          <w:sz w:val="24"/>
          <w:u w:val="dotted"/>
        </w:rPr>
      </w:pPr>
      <w:r>
        <w:rPr>
          <w:rFonts w:hint="eastAsia" w:ascii="宋体" w:hAnsi="宋体" w:cs="宋体"/>
          <w:sz w:val="24"/>
        </w:rPr>
        <w:t>请求：</w:t>
      </w:r>
    </w:p>
    <w:p w14:paraId="46E07724">
      <w:pPr>
        <w:ind w:firstLine="480"/>
        <w:rPr>
          <w:rFonts w:ascii="宋体" w:hAnsi="宋体" w:cs="宋体"/>
          <w:sz w:val="24"/>
        </w:rPr>
      </w:pPr>
      <w:r>
        <w:rPr>
          <w:rFonts w:hint="eastAsia" w:ascii="宋体" w:hAnsi="宋体" w:cs="宋体"/>
          <w:sz w:val="24"/>
        </w:rPr>
        <w:t xml:space="preserve">签字(签章)：                   公章：                      </w:t>
      </w:r>
    </w:p>
    <w:p w14:paraId="075BD998">
      <w:pPr>
        <w:ind w:firstLine="480"/>
        <w:rPr>
          <w:rFonts w:ascii="宋体" w:hAnsi="宋体" w:cs="宋体"/>
          <w:sz w:val="24"/>
        </w:rPr>
      </w:pPr>
      <w:r>
        <w:rPr>
          <w:rFonts w:hint="eastAsia" w:ascii="宋体" w:hAnsi="宋体" w:cs="宋体"/>
          <w:sz w:val="24"/>
        </w:rPr>
        <w:t xml:space="preserve">日期：    </w:t>
      </w:r>
    </w:p>
    <w:p w14:paraId="1C5A93D3">
      <w:pPr>
        <w:spacing w:line="400" w:lineRule="exact"/>
        <w:ind w:firstLine="482"/>
        <w:rPr>
          <w:rFonts w:ascii="宋体" w:hAnsi="宋体" w:cs="宋体"/>
          <w:b/>
          <w:sz w:val="24"/>
        </w:rPr>
      </w:pPr>
    </w:p>
    <w:p w14:paraId="28AA8CE1">
      <w:pPr>
        <w:spacing w:line="400" w:lineRule="exact"/>
        <w:ind w:firstLine="482"/>
        <w:rPr>
          <w:rFonts w:ascii="宋体" w:hAnsi="宋体" w:cs="宋体"/>
          <w:b/>
          <w:sz w:val="24"/>
        </w:rPr>
      </w:pPr>
    </w:p>
    <w:p w14:paraId="51F86D4F">
      <w:pPr>
        <w:spacing w:line="400" w:lineRule="exact"/>
        <w:ind w:firstLine="482"/>
        <w:rPr>
          <w:rFonts w:ascii="宋体" w:hAnsi="宋体" w:cs="宋体"/>
          <w:b/>
          <w:sz w:val="24"/>
        </w:rPr>
      </w:pPr>
    </w:p>
    <w:p w14:paraId="6EB202B0">
      <w:pPr>
        <w:spacing w:line="400" w:lineRule="exact"/>
        <w:ind w:firstLine="482"/>
        <w:rPr>
          <w:rFonts w:ascii="宋体" w:hAnsi="宋体" w:cs="宋体"/>
          <w:b/>
          <w:sz w:val="24"/>
        </w:rPr>
      </w:pPr>
      <w:r>
        <w:rPr>
          <w:rFonts w:hint="eastAsia" w:ascii="宋体" w:hAnsi="宋体" w:cs="宋体"/>
          <w:b/>
          <w:sz w:val="24"/>
        </w:rPr>
        <w:t>质疑函制作说明：</w:t>
      </w:r>
    </w:p>
    <w:p w14:paraId="158FC669">
      <w:pPr>
        <w:widowControl/>
        <w:spacing w:line="400" w:lineRule="exact"/>
        <w:ind w:firstLine="480"/>
        <w:jc w:val="left"/>
        <w:rPr>
          <w:rFonts w:ascii="宋体" w:hAnsi="宋体" w:cs="宋体"/>
          <w:sz w:val="24"/>
        </w:rPr>
      </w:pPr>
      <w:r>
        <w:rPr>
          <w:rFonts w:hint="eastAsia" w:ascii="宋体" w:hAnsi="宋体" w:cs="宋体"/>
          <w:sz w:val="24"/>
        </w:rPr>
        <w:t>1.供应商提出质疑时，应提交质疑函和必要的证明材料。</w:t>
      </w:r>
    </w:p>
    <w:p w14:paraId="275498A6">
      <w:pPr>
        <w:widowControl/>
        <w:spacing w:line="400" w:lineRule="exact"/>
        <w:ind w:firstLine="48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5525ED96">
      <w:pPr>
        <w:widowControl/>
        <w:spacing w:line="400" w:lineRule="exact"/>
        <w:ind w:firstLine="48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4B9F333C">
      <w:pPr>
        <w:widowControl/>
        <w:spacing w:line="400" w:lineRule="exact"/>
        <w:ind w:firstLine="480"/>
        <w:jc w:val="left"/>
        <w:rPr>
          <w:rFonts w:ascii="宋体" w:hAnsi="宋体" w:cs="宋体"/>
          <w:sz w:val="24"/>
        </w:rPr>
      </w:pPr>
      <w:r>
        <w:rPr>
          <w:rFonts w:hint="eastAsia" w:ascii="宋体" w:hAnsi="宋体" w:cs="宋体"/>
          <w:sz w:val="24"/>
        </w:rPr>
        <w:t>4.质疑函的质疑事项应具体、明确，并有必要的事实依据和法律依据。</w:t>
      </w:r>
    </w:p>
    <w:p w14:paraId="20692C3C">
      <w:pPr>
        <w:widowControl/>
        <w:spacing w:line="400" w:lineRule="exact"/>
        <w:ind w:firstLine="480"/>
        <w:jc w:val="left"/>
        <w:rPr>
          <w:rFonts w:ascii="宋体" w:hAnsi="宋体" w:cs="宋体"/>
          <w:sz w:val="24"/>
        </w:rPr>
      </w:pPr>
      <w:r>
        <w:rPr>
          <w:rFonts w:hint="eastAsia" w:ascii="宋体" w:hAnsi="宋体" w:cs="宋体"/>
          <w:sz w:val="24"/>
        </w:rPr>
        <w:t>5.质疑函的质疑请求应与质疑事项相关。</w:t>
      </w:r>
    </w:p>
    <w:p w14:paraId="5834FC3C">
      <w:pPr>
        <w:widowControl/>
        <w:spacing w:line="400" w:lineRule="exact"/>
        <w:ind w:firstLine="480"/>
        <w:jc w:val="left"/>
        <w:rPr>
          <w:rFonts w:ascii="宋体" w:hAnsi="宋体" w:cs="宋体"/>
          <w:sz w:val="24"/>
        </w:rPr>
      </w:pPr>
      <w:r>
        <w:rPr>
          <w:rFonts w:hint="eastAsia" w:ascii="宋体" w:hAnsi="宋体" w:cs="宋体"/>
          <w:sz w:val="24"/>
        </w:rPr>
        <w:t>6.质疑供应商为自然人的，质疑函应由本人签字；质疑供应商为法人或者其他组织的，质疑函应由法定代表人、主要负责人，或者其授权代表签字或者盖章，并加盖公章。</w:t>
      </w:r>
    </w:p>
    <w:p w14:paraId="18EF7550">
      <w:pPr>
        <w:pStyle w:val="4"/>
      </w:pPr>
    </w:p>
    <w:p w14:paraId="57016ECF">
      <w:pPr>
        <w:widowControl/>
        <w:spacing w:line="500" w:lineRule="exact"/>
        <w:jc w:val="center"/>
        <w:rPr>
          <w:rFonts w:ascii="宋体" w:hAnsi="宋体" w:eastAsia="宋体" w:cs="Times New Roman"/>
          <w:b/>
          <w:sz w:val="28"/>
          <w:szCs w:val="28"/>
          <w:shd w:val="clear" w:color="auto" w:fill="FFFFFF"/>
        </w:rPr>
      </w:pPr>
    </w:p>
    <w:p w14:paraId="42897EDF">
      <w:pPr>
        <w:widowControl/>
        <w:spacing w:line="500" w:lineRule="exact"/>
        <w:jc w:val="center"/>
        <w:rPr>
          <w:rFonts w:ascii="宋体" w:hAnsi="宋体" w:eastAsia="宋体" w:cs="Times New Roman"/>
          <w:b/>
          <w:sz w:val="28"/>
          <w:szCs w:val="28"/>
          <w:shd w:val="clear" w:color="auto" w:fill="FFFFFF"/>
        </w:rPr>
      </w:pPr>
    </w:p>
    <w:p w14:paraId="0DFA7D81">
      <w:pPr>
        <w:widowControl/>
        <w:spacing w:line="500" w:lineRule="exact"/>
        <w:jc w:val="center"/>
        <w:rPr>
          <w:rFonts w:ascii="宋体" w:hAnsi="宋体" w:eastAsia="宋体" w:cs="Times New Roman"/>
          <w:b/>
          <w:sz w:val="28"/>
          <w:szCs w:val="28"/>
          <w:shd w:val="clear" w:color="auto" w:fill="FFFFFF"/>
        </w:rPr>
      </w:pPr>
    </w:p>
    <w:p w14:paraId="0C366721">
      <w:pPr>
        <w:pStyle w:val="2"/>
        <w:rPr>
          <w:rFonts w:hAnsi="宋体"/>
          <w:b/>
          <w:sz w:val="28"/>
          <w:szCs w:val="28"/>
          <w:shd w:val="clear" w:color="auto" w:fill="FFFFFF"/>
        </w:rPr>
      </w:pPr>
    </w:p>
    <w:p w14:paraId="3E82697D">
      <w:pPr>
        <w:rPr>
          <w:rFonts w:ascii="宋体" w:hAnsi="宋体" w:eastAsia="宋体" w:cs="Times New Roman"/>
          <w:b/>
          <w:sz w:val="28"/>
          <w:szCs w:val="28"/>
          <w:shd w:val="clear" w:color="auto" w:fill="FFFFFF"/>
        </w:rPr>
      </w:pPr>
    </w:p>
    <w:p w14:paraId="3FC5DB73">
      <w:pPr>
        <w:pStyle w:val="2"/>
      </w:pPr>
    </w:p>
    <w:p w14:paraId="5816AF0C"/>
    <w:p w14:paraId="62120E20">
      <w:pPr>
        <w:pStyle w:val="2"/>
      </w:pPr>
    </w:p>
    <w:p w14:paraId="1E2CC94F"/>
    <w:p w14:paraId="668664EC">
      <w:pPr>
        <w:pStyle w:val="2"/>
      </w:pPr>
    </w:p>
    <w:p w14:paraId="47932EAF"/>
    <w:p w14:paraId="6A25A5A2">
      <w:pPr>
        <w:pStyle w:val="2"/>
      </w:pPr>
    </w:p>
    <w:p w14:paraId="0CE8A492"/>
    <w:p w14:paraId="3881B8F8">
      <w:pPr>
        <w:pStyle w:val="2"/>
      </w:pPr>
    </w:p>
    <w:p w14:paraId="074E7B7C"/>
    <w:p w14:paraId="5F5D4998">
      <w:pPr>
        <w:pStyle w:val="2"/>
      </w:pPr>
    </w:p>
    <w:p w14:paraId="0B9A5276"/>
    <w:p w14:paraId="5654C07B">
      <w:pPr>
        <w:pStyle w:val="2"/>
      </w:pPr>
    </w:p>
    <w:p w14:paraId="40FEF2DE"/>
    <w:p w14:paraId="502A1728">
      <w:pPr>
        <w:pStyle w:val="2"/>
      </w:pPr>
    </w:p>
    <w:p w14:paraId="409610B4"/>
    <w:p w14:paraId="792473DE">
      <w:pPr>
        <w:pStyle w:val="2"/>
      </w:pPr>
    </w:p>
    <w:p w14:paraId="30775261">
      <w:pPr>
        <w:snapToGrid w:val="0"/>
        <w:spacing w:line="400" w:lineRule="exact"/>
        <w:jc w:val="left"/>
        <w:rPr>
          <w:rFonts w:ascii="宋体" w:hAnsi="宋体" w:eastAsia="宋体" w:cs="宋体"/>
          <w:b/>
          <w:bCs/>
          <w:kern w:val="0"/>
          <w:sz w:val="28"/>
          <w:szCs w:val="28"/>
        </w:rPr>
      </w:pPr>
    </w:p>
    <w:sectPr>
      <w:pgSz w:w="11906" w:h="16838"/>
      <w:pgMar w:top="1440" w:right="127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40811"/>
    </w:sdtPr>
    <w:sdtContent>
      <w:p w14:paraId="44D4C137">
        <w:pPr>
          <w:pStyle w:val="7"/>
          <w:jc w:val="center"/>
        </w:pPr>
        <w:r>
          <w:fldChar w:fldCharType="begin"/>
        </w:r>
        <w:r>
          <w:instrText xml:space="preserve"> PAGE   \* MERGEFORMAT </w:instrText>
        </w:r>
        <w:r>
          <w:fldChar w:fldCharType="separate"/>
        </w:r>
        <w:r>
          <w:rPr>
            <w:lang w:val="zh-CN"/>
          </w:rPr>
          <w:t>4</w:t>
        </w:r>
        <w:r>
          <w:rPr>
            <w:lang w:val="zh-CN"/>
          </w:rPr>
          <w:fldChar w:fldCharType="end"/>
        </w:r>
      </w:p>
    </w:sdtContent>
  </w:sdt>
  <w:p w14:paraId="14DC08E5">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A56F2"/>
    <w:multiLevelType w:val="singleLevel"/>
    <w:tmpl w:val="CF6A56F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RiNGJmNzI4NmFhYTA2ZWU5ODljYTk1NDA0YTZjZjAifQ=="/>
  </w:docVars>
  <w:rsids>
    <w:rsidRoot w:val="001A4F6B"/>
    <w:rsid w:val="00005462"/>
    <w:rsid w:val="00005F0C"/>
    <w:rsid w:val="00006E56"/>
    <w:rsid w:val="00007AE5"/>
    <w:rsid w:val="00010F41"/>
    <w:rsid w:val="00011003"/>
    <w:rsid w:val="0001143B"/>
    <w:rsid w:val="00011C89"/>
    <w:rsid w:val="000129C9"/>
    <w:rsid w:val="000139DE"/>
    <w:rsid w:val="00014611"/>
    <w:rsid w:val="0001485B"/>
    <w:rsid w:val="00014B53"/>
    <w:rsid w:val="0001550A"/>
    <w:rsid w:val="000205F4"/>
    <w:rsid w:val="00021114"/>
    <w:rsid w:val="000216F5"/>
    <w:rsid w:val="00021A23"/>
    <w:rsid w:val="00023CF1"/>
    <w:rsid w:val="0002457E"/>
    <w:rsid w:val="00024DD2"/>
    <w:rsid w:val="000273D3"/>
    <w:rsid w:val="00027786"/>
    <w:rsid w:val="000278EB"/>
    <w:rsid w:val="00027E53"/>
    <w:rsid w:val="00035109"/>
    <w:rsid w:val="000353B9"/>
    <w:rsid w:val="00040FB9"/>
    <w:rsid w:val="00042C6A"/>
    <w:rsid w:val="00044A2A"/>
    <w:rsid w:val="00046774"/>
    <w:rsid w:val="00047928"/>
    <w:rsid w:val="00050DEC"/>
    <w:rsid w:val="00052094"/>
    <w:rsid w:val="00053CBA"/>
    <w:rsid w:val="00054C26"/>
    <w:rsid w:val="0005500E"/>
    <w:rsid w:val="00056802"/>
    <w:rsid w:val="00062AEB"/>
    <w:rsid w:val="00063E63"/>
    <w:rsid w:val="00064D91"/>
    <w:rsid w:val="0006526A"/>
    <w:rsid w:val="00065724"/>
    <w:rsid w:val="000661EB"/>
    <w:rsid w:val="00070D9D"/>
    <w:rsid w:val="00072065"/>
    <w:rsid w:val="0007389F"/>
    <w:rsid w:val="00074046"/>
    <w:rsid w:val="00074C38"/>
    <w:rsid w:val="00076235"/>
    <w:rsid w:val="00077167"/>
    <w:rsid w:val="00077367"/>
    <w:rsid w:val="00080986"/>
    <w:rsid w:val="00082BB0"/>
    <w:rsid w:val="00083282"/>
    <w:rsid w:val="000837AD"/>
    <w:rsid w:val="00083A71"/>
    <w:rsid w:val="00086B2D"/>
    <w:rsid w:val="0009123E"/>
    <w:rsid w:val="00091692"/>
    <w:rsid w:val="00093880"/>
    <w:rsid w:val="0009443D"/>
    <w:rsid w:val="00096130"/>
    <w:rsid w:val="00096B64"/>
    <w:rsid w:val="00097728"/>
    <w:rsid w:val="000A1675"/>
    <w:rsid w:val="000A264C"/>
    <w:rsid w:val="000A49D8"/>
    <w:rsid w:val="000A6A5A"/>
    <w:rsid w:val="000B265C"/>
    <w:rsid w:val="000B4290"/>
    <w:rsid w:val="000B5536"/>
    <w:rsid w:val="000B57B8"/>
    <w:rsid w:val="000B5D50"/>
    <w:rsid w:val="000B5EAB"/>
    <w:rsid w:val="000B5F27"/>
    <w:rsid w:val="000B62DF"/>
    <w:rsid w:val="000C16EA"/>
    <w:rsid w:val="000C1854"/>
    <w:rsid w:val="000C37F9"/>
    <w:rsid w:val="000C6970"/>
    <w:rsid w:val="000C6BD7"/>
    <w:rsid w:val="000C7B7C"/>
    <w:rsid w:val="000D0468"/>
    <w:rsid w:val="000D0B0D"/>
    <w:rsid w:val="000D1631"/>
    <w:rsid w:val="000D184D"/>
    <w:rsid w:val="000D1AB2"/>
    <w:rsid w:val="000E0437"/>
    <w:rsid w:val="000E0679"/>
    <w:rsid w:val="000E081D"/>
    <w:rsid w:val="000E20B4"/>
    <w:rsid w:val="000E22FA"/>
    <w:rsid w:val="000E2A55"/>
    <w:rsid w:val="000E2E88"/>
    <w:rsid w:val="000E4057"/>
    <w:rsid w:val="000F095D"/>
    <w:rsid w:val="000F0C23"/>
    <w:rsid w:val="000F2B11"/>
    <w:rsid w:val="000F3060"/>
    <w:rsid w:val="000F3470"/>
    <w:rsid w:val="000F3AB4"/>
    <w:rsid w:val="000F451D"/>
    <w:rsid w:val="000F5816"/>
    <w:rsid w:val="000F77B1"/>
    <w:rsid w:val="001010A8"/>
    <w:rsid w:val="00101544"/>
    <w:rsid w:val="00104A0A"/>
    <w:rsid w:val="00105925"/>
    <w:rsid w:val="00107C2F"/>
    <w:rsid w:val="00112B4B"/>
    <w:rsid w:val="00112D21"/>
    <w:rsid w:val="001136D9"/>
    <w:rsid w:val="001143B8"/>
    <w:rsid w:val="0011492B"/>
    <w:rsid w:val="00116D2D"/>
    <w:rsid w:val="00117726"/>
    <w:rsid w:val="001200A7"/>
    <w:rsid w:val="001226C9"/>
    <w:rsid w:val="001256D5"/>
    <w:rsid w:val="0012691C"/>
    <w:rsid w:val="00126AE1"/>
    <w:rsid w:val="00127E08"/>
    <w:rsid w:val="001304E2"/>
    <w:rsid w:val="00130598"/>
    <w:rsid w:val="00130947"/>
    <w:rsid w:val="00131021"/>
    <w:rsid w:val="00132413"/>
    <w:rsid w:val="001327D2"/>
    <w:rsid w:val="00133778"/>
    <w:rsid w:val="00133AF4"/>
    <w:rsid w:val="001369AA"/>
    <w:rsid w:val="00136AE9"/>
    <w:rsid w:val="00143C12"/>
    <w:rsid w:val="00144D18"/>
    <w:rsid w:val="00146958"/>
    <w:rsid w:val="001506D1"/>
    <w:rsid w:val="00151852"/>
    <w:rsid w:val="00151C7D"/>
    <w:rsid w:val="00152C72"/>
    <w:rsid w:val="00153EF9"/>
    <w:rsid w:val="00156C17"/>
    <w:rsid w:val="00156E7B"/>
    <w:rsid w:val="001577AA"/>
    <w:rsid w:val="00160AA4"/>
    <w:rsid w:val="00160C07"/>
    <w:rsid w:val="00164D7E"/>
    <w:rsid w:val="00165C0C"/>
    <w:rsid w:val="00167C68"/>
    <w:rsid w:val="001701A9"/>
    <w:rsid w:val="00171276"/>
    <w:rsid w:val="00171854"/>
    <w:rsid w:val="001728C5"/>
    <w:rsid w:val="001756A6"/>
    <w:rsid w:val="00175821"/>
    <w:rsid w:val="00176773"/>
    <w:rsid w:val="00182FF7"/>
    <w:rsid w:val="001834F2"/>
    <w:rsid w:val="00190911"/>
    <w:rsid w:val="001924F2"/>
    <w:rsid w:val="001937AD"/>
    <w:rsid w:val="00193BA4"/>
    <w:rsid w:val="00193CBC"/>
    <w:rsid w:val="00194178"/>
    <w:rsid w:val="00195D0C"/>
    <w:rsid w:val="00195E9C"/>
    <w:rsid w:val="00197133"/>
    <w:rsid w:val="001971EA"/>
    <w:rsid w:val="001979B3"/>
    <w:rsid w:val="001A0159"/>
    <w:rsid w:val="001A086C"/>
    <w:rsid w:val="001A0BF5"/>
    <w:rsid w:val="001A1053"/>
    <w:rsid w:val="001A15FE"/>
    <w:rsid w:val="001A32C4"/>
    <w:rsid w:val="001A3FEA"/>
    <w:rsid w:val="001A4BD7"/>
    <w:rsid w:val="001A4F6B"/>
    <w:rsid w:val="001A6759"/>
    <w:rsid w:val="001A74E6"/>
    <w:rsid w:val="001B16A4"/>
    <w:rsid w:val="001B7E38"/>
    <w:rsid w:val="001C0B36"/>
    <w:rsid w:val="001C19AA"/>
    <w:rsid w:val="001C37E8"/>
    <w:rsid w:val="001C42CA"/>
    <w:rsid w:val="001C6748"/>
    <w:rsid w:val="001C75F4"/>
    <w:rsid w:val="001D07CF"/>
    <w:rsid w:val="001D1777"/>
    <w:rsid w:val="001D3596"/>
    <w:rsid w:val="001D36F6"/>
    <w:rsid w:val="001D3DD0"/>
    <w:rsid w:val="001D65E7"/>
    <w:rsid w:val="001D68E0"/>
    <w:rsid w:val="001D7BC2"/>
    <w:rsid w:val="001E382C"/>
    <w:rsid w:val="001E4BBE"/>
    <w:rsid w:val="001E555D"/>
    <w:rsid w:val="001F0BD3"/>
    <w:rsid w:val="001F210B"/>
    <w:rsid w:val="001F3D01"/>
    <w:rsid w:val="001F52C5"/>
    <w:rsid w:val="001F5997"/>
    <w:rsid w:val="001F7912"/>
    <w:rsid w:val="00200810"/>
    <w:rsid w:val="00201C44"/>
    <w:rsid w:val="002043B0"/>
    <w:rsid w:val="00204A45"/>
    <w:rsid w:val="002066A5"/>
    <w:rsid w:val="00207ECD"/>
    <w:rsid w:val="00211082"/>
    <w:rsid w:val="002110C4"/>
    <w:rsid w:val="002141FF"/>
    <w:rsid w:val="00215167"/>
    <w:rsid w:val="00215B1D"/>
    <w:rsid w:val="00220BFE"/>
    <w:rsid w:val="00222D2A"/>
    <w:rsid w:val="00222E77"/>
    <w:rsid w:val="00222F33"/>
    <w:rsid w:val="00223396"/>
    <w:rsid w:val="00224DE5"/>
    <w:rsid w:val="002262FF"/>
    <w:rsid w:val="002308EA"/>
    <w:rsid w:val="00231661"/>
    <w:rsid w:val="00231820"/>
    <w:rsid w:val="00232AB3"/>
    <w:rsid w:val="00233A70"/>
    <w:rsid w:val="00235CC4"/>
    <w:rsid w:val="0023603A"/>
    <w:rsid w:val="00236A7D"/>
    <w:rsid w:val="00241B5C"/>
    <w:rsid w:val="002425E9"/>
    <w:rsid w:val="00243095"/>
    <w:rsid w:val="0024310E"/>
    <w:rsid w:val="0024384D"/>
    <w:rsid w:val="0024561F"/>
    <w:rsid w:val="00246EDC"/>
    <w:rsid w:val="00250476"/>
    <w:rsid w:val="00250E61"/>
    <w:rsid w:val="00252743"/>
    <w:rsid w:val="002532A5"/>
    <w:rsid w:val="0025359F"/>
    <w:rsid w:val="00254D98"/>
    <w:rsid w:val="00260DC3"/>
    <w:rsid w:val="00262640"/>
    <w:rsid w:val="00263B4C"/>
    <w:rsid w:val="00263ECF"/>
    <w:rsid w:val="002640B1"/>
    <w:rsid w:val="0026490E"/>
    <w:rsid w:val="0026616D"/>
    <w:rsid w:val="00267331"/>
    <w:rsid w:val="00273171"/>
    <w:rsid w:val="00274694"/>
    <w:rsid w:val="00276544"/>
    <w:rsid w:val="002767B1"/>
    <w:rsid w:val="00276DE5"/>
    <w:rsid w:val="00280983"/>
    <w:rsid w:val="00280C91"/>
    <w:rsid w:val="0028204E"/>
    <w:rsid w:val="002828AD"/>
    <w:rsid w:val="00282A5A"/>
    <w:rsid w:val="002839E0"/>
    <w:rsid w:val="00294AE3"/>
    <w:rsid w:val="002967F9"/>
    <w:rsid w:val="00296C23"/>
    <w:rsid w:val="002976E7"/>
    <w:rsid w:val="002A086B"/>
    <w:rsid w:val="002A0CF3"/>
    <w:rsid w:val="002A3124"/>
    <w:rsid w:val="002A3880"/>
    <w:rsid w:val="002A4CEF"/>
    <w:rsid w:val="002A53FC"/>
    <w:rsid w:val="002A57AE"/>
    <w:rsid w:val="002A5C94"/>
    <w:rsid w:val="002B0717"/>
    <w:rsid w:val="002B15E4"/>
    <w:rsid w:val="002B532F"/>
    <w:rsid w:val="002B5895"/>
    <w:rsid w:val="002B59AD"/>
    <w:rsid w:val="002B67AB"/>
    <w:rsid w:val="002C1B27"/>
    <w:rsid w:val="002C2A64"/>
    <w:rsid w:val="002C2E27"/>
    <w:rsid w:val="002C4A94"/>
    <w:rsid w:val="002D0279"/>
    <w:rsid w:val="002D10E9"/>
    <w:rsid w:val="002D60D1"/>
    <w:rsid w:val="002D6D8D"/>
    <w:rsid w:val="002D6E7E"/>
    <w:rsid w:val="002E0786"/>
    <w:rsid w:val="002E125A"/>
    <w:rsid w:val="002E3C6F"/>
    <w:rsid w:val="002E4FBF"/>
    <w:rsid w:val="002E53E2"/>
    <w:rsid w:val="002F28F0"/>
    <w:rsid w:val="002F2B9F"/>
    <w:rsid w:val="002F3E11"/>
    <w:rsid w:val="002F7AE5"/>
    <w:rsid w:val="00300C8B"/>
    <w:rsid w:val="00301C78"/>
    <w:rsid w:val="00301D8C"/>
    <w:rsid w:val="00301FA4"/>
    <w:rsid w:val="0030354E"/>
    <w:rsid w:val="003047A9"/>
    <w:rsid w:val="0030530A"/>
    <w:rsid w:val="00307A02"/>
    <w:rsid w:val="003106B9"/>
    <w:rsid w:val="00311109"/>
    <w:rsid w:val="0031199F"/>
    <w:rsid w:val="0031575A"/>
    <w:rsid w:val="003167AA"/>
    <w:rsid w:val="00316B12"/>
    <w:rsid w:val="003210A0"/>
    <w:rsid w:val="00321B46"/>
    <w:rsid w:val="00322369"/>
    <w:rsid w:val="00322622"/>
    <w:rsid w:val="003228BE"/>
    <w:rsid w:val="0032327E"/>
    <w:rsid w:val="003233DB"/>
    <w:rsid w:val="00324B89"/>
    <w:rsid w:val="00326892"/>
    <w:rsid w:val="00326EEA"/>
    <w:rsid w:val="003277C7"/>
    <w:rsid w:val="00330E51"/>
    <w:rsid w:val="003319BC"/>
    <w:rsid w:val="00331D1C"/>
    <w:rsid w:val="003322BE"/>
    <w:rsid w:val="00332497"/>
    <w:rsid w:val="00332DD4"/>
    <w:rsid w:val="00333A4D"/>
    <w:rsid w:val="00335C3A"/>
    <w:rsid w:val="00335D61"/>
    <w:rsid w:val="00336684"/>
    <w:rsid w:val="00336AA9"/>
    <w:rsid w:val="003429B7"/>
    <w:rsid w:val="003438AD"/>
    <w:rsid w:val="003440F5"/>
    <w:rsid w:val="00345C56"/>
    <w:rsid w:val="0034664D"/>
    <w:rsid w:val="00346AF9"/>
    <w:rsid w:val="00346BC0"/>
    <w:rsid w:val="003476B1"/>
    <w:rsid w:val="00347932"/>
    <w:rsid w:val="00351B17"/>
    <w:rsid w:val="00352433"/>
    <w:rsid w:val="00352634"/>
    <w:rsid w:val="003548F2"/>
    <w:rsid w:val="00354971"/>
    <w:rsid w:val="0035535E"/>
    <w:rsid w:val="003563C9"/>
    <w:rsid w:val="003568D4"/>
    <w:rsid w:val="003628D5"/>
    <w:rsid w:val="00364301"/>
    <w:rsid w:val="00366008"/>
    <w:rsid w:val="00366AB3"/>
    <w:rsid w:val="00366EDF"/>
    <w:rsid w:val="00373F17"/>
    <w:rsid w:val="00373FEA"/>
    <w:rsid w:val="00375093"/>
    <w:rsid w:val="003751D3"/>
    <w:rsid w:val="00375490"/>
    <w:rsid w:val="00376152"/>
    <w:rsid w:val="0037746A"/>
    <w:rsid w:val="00377F38"/>
    <w:rsid w:val="0038007F"/>
    <w:rsid w:val="00382B79"/>
    <w:rsid w:val="00382B8D"/>
    <w:rsid w:val="00383331"/>
    <w:rsid w:val="003877A0"/>
    <w:rsid w:val="003907FD"/>
    <w:rsid w:val="00393083"/>
    <w:rsid w:val="0039654D"/>
    <w:rsid w:val="003A05DF"/>
    <w:rsid w:val="003A0A56"/>
    <w:rsid w:val="003A4320"/>
    <w:rsid w:val="003A546C"/>
    <w:rsid w:val="003A5F81"/>
    <w:rsid w:val="003A65E1"/>
    <w:rsid w:val="003B1CAD"/>
    <w:rsid w:val="003B229C"/>
    <w:rsid w:val="003B3F6D"/>
    <w:rsid w:val="003B51B9"/>
    <w:rsid w:val="003B5289"/>
    <w:rsid w:val="003B5649"/>
    <w:rsid w:val="003B7F6F"/>
    <w:rsid w:val="003C0913"/>
    <w:rsid w:val="003C1038"/>
    <w:rsid w:val="003C150C"/>
    <w:rsid w:val="003C27F9"/>
    <w:rsid w:val="003C2E28"/>
    <w:rsid w:val="003C609F"/>
    <w:rsid w:val="003D022C"/>
    <w:rsid w:val="003D2127"/>
    <w:rsid w:val="003D2A47"/>
    <w:rsid w:val="003D2B67"/>
    <w:rsid w:val="003E0FA5"/>
    <w:rsid w:val="003E387C"/>
    <w:rsid w:val="003E4D57"/>
    <w:rsid w:val="003E4E6B"/>
    <w:rsid w:val="003E4F8B"/>
    <w:rsid w:val="003E514A"/>
    <w:rsid w:val="003E67DA"/>
    <w:rsid w:val="003E6FAB"/>
    <w:rsid w:val="003F03E0"/>
    <w:rsid w:val="003F0611"/>
    <w:rsid w:val="003F2E59"/>
    <w:rsid w:val="003F3E2E"/>
    <w:rsid w:val="003F3E71"/>
    <w:rsid w:val="003F4D33"/>
    <w:rsid w:val="003F77DD"/>
    <w:rsid w:val="004014A2"/>
    <w:rsid w:val="00401A40"/>
    <w:rsid w:val="00401E5D"/>
    <w:rsid w:val="00402214"/>
    <w:rsid w:val="00404B97"/>
    <w:rsid w:val="00404CBD"/>
    <w:rsid w:val="00404F08"/>
    <w:rsid w:val="00405055"/>
    <w:rsid w:val="00405530"/>
    <w:rsid w:val="00406852"/>
    <w:rsid w:val="0041169A"/>
    <w:rsid w:val="00413BF9"/>
    <w:rsid w:val="00414CE6"/>
    <w:rsid w:val="00415257"/>
    <w:rsid w:val="00421135"/>
    <w:rsid w:val="00421EBA"/>
    <w:rsid w:val="004220F0"/>
    <w:rsid w:val="0042336E"/>
    <w:rsid w:val="0042338E"/>
    <w:rsid w:val="00425742"/>
    <w:rsid w:val="00426271"/>
    <w:rsid w:val="00426DCF"/>
    <w:rsid w:val="0043087F"/>
    <w:rsid w:val="004330A8"/>
    <w:rsid w:val="004331F1"/>
    <w:rsid w:val="004344CF"/>
    <w:rsid w:val="004353E3"/>
    <w:rsid w:val="00435C39"/>
    <w:rsid w:val="00436316"/>
    <w:rsid w:val="00436A86"/>
    <w:rsid w:val="00436A98"/>
    <w:rsid w:val="004372BF"/>
    <w:rsid w:val="00440C34"/>
    <w:rsid w:val="004456E5"/>
    <w:rsid w:val="00445DD7"/>
    <w:rsid w:val="00446331"/>
    <w:rsid w:val="00447D01"/>
    <w:rsid w:val="004505F7"/>
    <w:rsid w:val="004505FB"/>
    <w:rsid w:val="00450743"/>
    <w:rsid w:val="0045120E"/>
    <w:rsid w:val="00454AF1"/>
    <w:rsid w:val="004564EC"/>
    <w:rsid w:val="0045777C"/>
    <w:rsid w:val="004600E0"/>
    <w:rsid w:val="004606F4"/>
    <w:rsid w:val="00460A56"/>
    <w:rsid w:val="00460E21"/>
    <w:rsid w:val="00462189"/>
    <w:rsid w:val="0046257A"/>
    <w:rsid w:val="00466647"/>
    <w:rsid w:val="00466DB1"/>
    <w:rsid w:val="00470F49"/>
    <w:rsid w:val="00472709"/>
    <w:rsid w:val="00472EFC"/>
    <w:rsid w:val="00472F09"/>
    <w:rsid w:val="00473376"/>
    <w:rsid w:val="00476288"/>
    <w:rsid w:val="00476D2B"/>
    <w:rsid w:val="004773D3"/>
    <w:rsid w:val="004778B5"/>
    <w:rsid w:val="00480029"/>
    <w:rsid w:val="00483D72"/>
    <w:rsid w:val="00486831"/>
    <w:rsid w:val="004907D7"/>
    <w:rsid w:val="004911A0"/>
    <w:rsid w:val="00491788"/>
    <w:rsid w:val="00493CB9"/>
    <w:rsid w:val="004953E8"/>
    <w:rsid w:val="00496193"/>
    <w:rsid w:val="004970E8"/>
    <w:rsid w:val="00497394"/>
    <w:rsid w:val="004A0921"/>
    <w:rsid w:val="004A1002"/>
    <w:rsid w:val="004A113F"/>
    <w:rsid w:val="004A1C88"/>
    <w:rsid w:val="004A1D69"/>
    <w:rsid w:val="004A35BC"/>
    <w:rsid w:val="004A5D42"/>
    <w:rsid w:val="004A75F3"/>
    <w:rsid w:val="004A7CA9"/>
    <w:rsid w:val="004B05EC"/>
    <w:rsid w:val="004B197E"/>
    <w:rsid w:val="004B201D"/>
    <w:rsid w:val="004B304E"/>
    <w:rsid w:val="004B5A58"/>
    <w:rsid w:val="004B5CBE"/>
    <w:rsid w:val="004B625C"/>
    <w:rsid w:val="004B731A"/>
    <w:rsid w:val="004C0E66"/>
    <w:rsid w:val="004C1E3E"/>
    <w:rsid w:val="004C2E82"/>
    <w:rsid w:val="004C32AC"/>
    <w:rsid w:val="004C5E71"/>
    <w:rsid w:val="004C7287"/>
    <w:rsid w:val="004D1F21"/>
    <w:rsid w:val="004D46DD"/>
    <w:rsid w:val="004D76DA"/>
    <w:rsid w:val="004D782E"/>
    <w:rsid w:val="004D7CEE"/>
    <w:rsid w:val="004E0B01"/>
    <w:rsid w:val="004E3DC1"/>
    <w:rsid w:val="004E54CC"/>
    <w:rsid w:val="004E5B61"/>
    <w:rsid w:val="004E697C"/>
    <w:rsid w:val="004E73BE"/>
    <w:rsid w:val="004F16B4"/>
    <w:rsid w:val="004F3057"/>
    <w:rsid w:val="004F3C10"/>
    <w:rsid w:val="004F4781"/>
    <w:rsid w:val="004F58DE"/>
    <w:rsid w:val="004F70BB"/>
    <w:rsid w:val="005005D1"/>
    <w:rsid w:val="00501046"/>
    <w:rsid w:val="00501389"/>
    <w:rsid w:val="00502B8B"/>
    <w:rsid w:val="00502F69"/>
    <w:rsid w:val="00503702"/>
    <w:rsid w:val="00503C36"/>
    <w:rsid w:val="00503DCC"/>
    <w:rsid w:val="005053A5"/>
    <w:rsid w:val="005057B4"/>
    <w:rsid w:val="00507C27"/>
    <w:rsid w:val="00511D90"/>
    <w:rsid w:val="005128D2"/>
    <w:rsid w:val="00512C1A"/>
    <w:rsid w:val="005131EA"/>
    <w:rsid w:val="00513207"/>
    <w:rsid w:val="005134FD"/>
    <w:rsid w:val="00513586"/>
    <w:rsid w:val="00513AD6"/>
    <w:rsid w:val="00514490"/>
    <w:rsid w:val="00514E58"/>
    <w:rsid w:val="00515F0F"/>
    <w:rsid w:val="00516D7C"/>
    <w:rsid w:val="00517FAA"/>
    <w:rsid w:val="00522CCD"/>
    <w:rsid w:val="00523A7B"/>
    <w:rsid w:val="005240B5"/>
    <w:rsid w:val="00524413"/>
    <w:rsid w:val="00524C71"/>
    <w:rsid w:val="00524D50"/>
    <w:rsid w:val="005266CD"/>
    <w:rsid w:val="005307CA"/>
    <w:rsid w:val="0053098E"/>
    <w:rsid w:val="00530EF5"/>
    <w:rsid w:val="00533715"/>
    <w:rsid w:val="0053777F"/>
    <w:rsid w:val="00540E31"/>
    <w:rsid w:val="005450D0"/>
    <w:rsid w:val="00545EDD"/>
    <w:rsid w:val="00546F9F"/>
    <w:rsid w:val="00547089"/>
    <w:rsid w:val="005477DE"/>
    <w:rsid w:val="00547E20"/>
    <w:rsid w:val="00551209"/>
    <w:rsid w:val="005524F9"/>
    <w:rsid w:val="0055262C"/>
    <w:rsid w:val="00553485"/>
    <w:rsid w:val="00554EF1"/>
    <w:rsid w:val="00560BB5"/>
    <w:rsid w:val="0056395A"/>
    <w:rsid w:val="00564819"/>
    <w:rsid w:val="005651EE"/>
    <w:rsid w:val="0056649A"/>
    <w:rsid w:val="005701EE"/>
    <w:rsid w:val="005707D0"/>
    <w:rsid w:val="005714D9"/>
    <w:rsid w:val="00572553"/>
    <w:rsid w:val="005735A3"/>
    <w:rsid w:val="0057402D"/>
    <w:rsid w:val="005760D3"/>
    <w:rsid w:val="005803F7"/>
    <w:rsid w:val="00580E20"/>
    <w:rsid w:val="00585107"/>
    <w:rsid w:val="00585BFB"/>
    <w:rsid w:val="0058657B"/>
    <w:rsid w:val="005865FB"/>
    <w:rsid w:val="00586AC2"/>
    <w:rsid w:val="00587671"/>
    <w:rsid w:val="0058791F"/>
    <w:rsid w:val="00590848"/>
    <w:rsid w:val="005914B7"/>
    <w:rsid w:val="00593682"/>
    <w:rsid w:val="00594882"/>
    <w:rsid w:val="00596476"/>
    <w:rsid w:val="005964C5"/>
    <w:rsid w:val="00597773"/>
    <w:rsid w:val="00597FBE"/>
    <w:rsid w:val="005A1AB7"/>
    <w:rsid w:val="005A4DB4"/>
    <w:rsid w:val="005A587C"/>
    <w:rsid w:val="005B0446"/>
    <w:rsid w:val="005B3D45"/>
    <w:rsid w:val="005B5E8B"/>
    <w:rsid w:val="005C09FA"/>
    <w:rsid w:val="005C14BD"/>
    <w:rsid w:val="005C1723"/>
    <w:rsid w:val="005C245C"/>
    <w:rsid w:val="005C370A"/>
    <w:rsid w:val="005C629E"/>
    <w:rsid w:val="005C65E0"/>
    <w:rsid w:val="005C72A1"/>
    <w:rsid w:val="005D0E6B"/>
    <w:rsid w:val="005D259F"/>
    <w:rsid w:val="005D3145"/>
    <w:rsid w:val="005D4B42"/>
    <w:rsid w:val="005D5D46"/>
    <w:rsid w:val="005D754B"/>
    <w:rsid w:val="005E08F5"/>
    <w:rsid w:val="005E0B11"/>
    <w:rsid w:val="005E11B1"/>
    <w:rsid w:val="005E381D"/>
    <w:rsid w:val="005E430C"/>
    <w:rsid w:val="005E5348"/>
    <w:rsid w:val="005E6C4A"/>
    <w:rsid w:val="005F2001"/>
    <w:rsid w:val="005F2FD3"/>
    <w:rsid w:val="005F3892"/>
    <w:rsid w:val="005F3C59"/>
    <w:rsid w:val="005F3DC1"/>
    <w:rsid w:val="005F518A"/>
    <w:rsid w:val="005F5C78"/>
    <w:rsid w:val="005F60B1"/>
    <w:rsid w:val="005F6C5A"/>
    <w:rsid w:val="005F738D"/>
    <w:rsid w:val="00604B94"/>
    <w:rsid w:val="00604BEF"/>
    <w:rsid w:val="006061BE"/>
    <w:rsid w:val="0060643A"/>
    <w:rsid w:val="00606EF9"/>
    <w:rsid w:val="00607AB7"/>
    <w:rsid w:val="006119C8"/>
    <w:rsid w:val="006124C1"/>
    <w:rsid w:val="00613CD9"/>
    <w:rsid w:val="006143B0"/>
    <w:rsid w:val="006155A7"/>
    <w:rsid w:val="006164C8"/>
    <w:rsid w:val="00616BBF"/>
    <w:rsid w:val="0061751C"/>
    <w:rsid w:val="00623C75"/>
    <w:rsid w:val="00625E83"/>
    <w:rsid w:val="006269F3"/>
    <w:rsid w:val="00630EB6"/>
    <w:rsid w:val="00631991"/>
    <w:rsid w:val="006321F3"/>
    <w:rsid w:val="006321FE"/>
    <w:rsid w:val="006352B1"/>
    <w:rsid w:val="00637A12"/>
    <w:rsid w:val="006406EC"/>
    <w:rsid w:val="00640CC4"/>
    <w:rsid w:val="00642392"/>
    <w:rsid w:val="0064383B"/>
    <w:rsid w:val="006443E4"/>
    <w:rsid w:val="006456B8"/>
    <w:rsid w:val="00655269"/>
    <w:rsid w:val="00655437"/>
    <w:rsid w:val="006559DE"/>
    <w:rsid w:val="00655F10"/>
    <w:rsid w:val="0065628D"/>
    <w:rsid w:val="00657A73"/>
    <w:rsid w:val="00660E8F"/>
    <w:rsid w:val="00661C62"/>
    <w:rsid w:val="00662350"/>
    <w:rsid w:val="006629F4"/>
    <w:rsid w:val="00662C49"/>
    <w:rsid w:val="00663095"/>
    <w:rsid w:val="0066380A"/>
    <w:rsid w:val="00664965"/>
    <w:rsid w:val="0066506E"/>
    <w:rsid w:val="00665E24"/>
    <w:rsid w:val="00666983"/>
    <w:rsid w:val="00667671"/>
    <w:rsid w:val="00667A03"/>
    <w:rsid w:val="00671D92"/>
    <w:rsid w:val="00675D72"/>
    <w:rsid w:val="006760ED"/>
    <w:rsid w:val="006761DC"/>
    <w:rsid w:val="00676D10"/>
    <w:rsid w:val="00677314"/>
    <w:rsid w:val="006779E9"/>
    <w:rsid w:val="006802A4"/>
    <w:rsid w:val="006821F0"/>
    <w:rsid w:val="00683C21"/>
    <w:rsid w:val="00684B48"/>
    <w:rsid w:val="00685CBA"/>
    <w:rsid w:val="00686F4D"/>
    <w:rsid w:val="00687095"/>
    <w:rsid w:val="00687359"/>
    <w:rsid w:val="0069053E"/>
    <w:rsid w:val="006905F6"/>
    <w:rsid w:val="0069236E"/>
    <w:rsid w:val="00694694"/>
    <w:rsid w:val="00694A45"/>
    <w:rsid w:val="00695285"/>
    <w:rsid w:val="00695C14"/>
    <w:rsid w:val="00697AAE"/>
    <w:rsid w:val="006A4A23"/>
    <w:rsid w:val="006A4D95"/>
    <w:rsid w:val="006A4DCF"/>
    <w:rsid w:val="006A4F14"/>
    <w:rsid w:val="006A6819"/>
    <w:rsid w:val="006B1766"/>
    <w:rsid w:val="006B1DE0"/>
    <w:rsid w:val="006B2EF5"/>
    <w:rsid w:val="006B31D5"/>
    <w:rsid w:val="006B6008"/>
    <w:rsid w:val="006B6156"/>
    <w:rsid w:val="006B66EC"/>
    <w:rsid w:val="006B6909"/>
    <w:rsid w:val="006B72E5"/>
    <w:rsid w:val="006B7699"/>
    <w:rsid w:val="006B79DA"/>
    <w:rsid w:val="006B7C80"/>
    <w:rsid w:val="006C0E41"/>
    <w:rsid w:val="006C1759"/>
    <w:rsid w:val="006C4E1F"/>
    <w:rsid w:val="006C50E1"/>
    <w:rsid w:val="006C6651"/>
    <w:rsid w:val="006D06E7"/>
    <w:rsid w:val="006D22DB"/>
    <w:rsid w:val="006D3B48"/>
    <w:rsid w:val="006D4EE1"/>
    <w:rsid w:val="006D56DD"/>
    <w:rsid w:val="006D5DCB"/>
    <w:rsid w:val="006D69AE"/>
    <w:rsid w:val="006D6CFA"/>
    <w:rsid w:val="006D6FB1"/>
    <w:rsid w:val="006E1D93"/>
    <w:rsid w:val="006E27B6"/>
    <w:rsid w:val="006E6490"/>
    <w:rsid w:val="006E7859"/>
    <w:rsid w:val="006F0D99"/>
    <w:rsid w:val="006F19DC"/>
    <w:rsid w:val="006F2AA4"/>
    <w:rsid w:val="006F2B73"/>
    <w:rsid w:val="006F640F"/>
    <w:rsid w:val="00700131"/>
    <w:rsid w:val="00701762"/>
    <w:rsid w:val="007022E5"/>
    <w:rsid w:val="0070247F"/>
    <w:rsid w:val="00702866"/>
    <w:rsid w:val="00702C92"/>
    <w:rsid w:val="0070585F"/>
    <w:rsid w:val="00706883"/>
    <w:rsid w:val="0070761D"/>
    <w:rsid w:val="0070771C"/>
    <w:rsid w:val="00710DB4"/>
    <w:rsid w:val="00711DC4"/>
    <w:rsid w:val="007147D5"/>
    <w:rsid w:val="00714AD4"/>
    <w:rsid w:val="00714F42"/>
    <w:rsid w:val="00720F70"/>
    <w:rsid w:val="0072113B"/>
    <w:rsid w:val="00721581"/>
    <w:rsid w:val="00721878"/>
    <w:rsid w:val="00721F76"/>
    <w:rsid w:val="007222C0"/>
    <w:rsid w:val="00722909"/>
    <w:rsid w:val="00723A45"/>
    <w:rsid w:val="00724B53"/>
    <w:rsid w:val="00725824"/>
    <w:rsid w:val="007259BA"/>
    <w:rsid w:val="00726D95"/>
    <w:rsid w:val="00727526"/>
    <w:rsid w:val="0073097C"/>
    <w:rsid w:val="00730DCB"/>
    <w:rsid w:val="00734B1B"/>
    <w:rsid w:val="00736776"/>
    <w:rsid w:val="00740242"/>
    <w:rsid w:val="00740CCF"/>
    <w:rsid w:val="0074280D"/>
    <w:rsid w:val="00742A8D"/>
    <w:rsid w:val="00742E2D"/>
    <w:rsid w:val="0074313E"/>
    <w:rsid w:val="00744570"/>
    <w:rsid w:val="0074473D"/>
    <w:rsid w:val="0074500E"/>
    <w:rsid w:val="00745D7B"/>
    <w:rsid w:val="00746F68"/>
    <w:rsid w:val="00751D4B"/>
    <w:rsid w:val="00752E2E"/>
    <w:rsid w:val="00753C30"/>
    <w:rsid w:val="00754753"/>
    <w:rsid w:val="0075587E"/>
    <w:rsid w:val="007576CE"/>
    <w:rsid w:val="00761E37"/>
    <w:rsid w:val="00762B49"/>
    <w:rsid w:val="007631E1"/>
    <w:rsid w:val="00763727"/>
    <w:rsid w:val="00763867"/>
    <w:rsid w:val="00764105"/>
    <w:rsid w:val="00765607"/>
    <w:rsid w:val="0076582A"/>
    <w:rsid w:val="00766BB8"/>
    <w:rsid w:val="00766BCA"/>
    <w:rsid w:val="00767EE4"/>
    <w:rsid w:val="00772281"/>
    <w:rsid w:val="0077249C"/>
    <w:rsid w:val="00773273"/>
    <w:rsid w:val="00773278"/>
    <w:rsid w:val="007742FA"/>
    <w:rsid w:val="00776A92"/>
    <w:rsid w:val="00776D5F"/>
    <w:rsid w:val="00780D12"/>
    <w:rsid w:val="00780F59"/>
    <w:rsid w:val="0078145D"/>
    <w:rsid w:val="0078362D"/>
    <w:rsid w:val="007840CC"/>
    <w:rsid w:val="00784798"/>
    <w:rsid w:val="007876B6"/>
    <w:rsid w:val="007877F3"/>
    <w:rsid w:val="00787CD6"/>
    <w:rsid w:val="00791353"/>
    <w:rsid w:val="007927BE"/>
    <w:rsid w:val="007927E8"/>
    <w:rsid w:val="007A0AC2"/>
    <w:rsid w:val="007A36F3"/>
    <w:rsid w:val="007A6A28"/>
    <w:rsid w:val="007A7D79"/>
    <w:rsid w:val="007B0B5F"/>
    <w:rsid w:val="007B104E"/>
    <w:rsid w:val="007B18C3"/>
    <w:rsid w:val="007B2019"/>
    <w:rsid w:val="007B2C42"/>
    <w:rsid w:val="007B75B1"/>
    <w:rsid w:val="007C22B7"/>
    <w:rsid w:val="007C2792"/>
    <w:rsid w:val="007C3702"/>
    <w:rsid w:val="007C4CD3"/>
    <w:rsid w:val="007C6060"/>
    <w:rsid w:val="007C6152"/>
    <w:rsid w:val="007C706B"/>
    <w:rsid w:val="007C7909"/>
    <w:rsid w:val="007D0F09"/>
    <w:rsid w:val="007D12E3"/>
    <w:rsid w:val="007D2793"/>
    <w:rsid w:val="007D33D1"/>
    <w:rsid w:val="007D4555"/>
    <w:rsid w:val="007D5154"/>
    <w:rsid w:val="007D5C2F"/>
    <w:rsid w:val="007D6354"/>
    <w:rsid w:val="007E279B"/>
    <w:rsid w:val="007E2E9B"/>
    <w:rsid w:val="007E45C7"/>
    <w:rsid w:val="007E49E6"/>
    <w:rsid w:val="007E5BC4"/>
    <w:rsid w:val="007F03B9"/>
    <w:rsid w:val="007F0937"/>
    <w:rsid w:val="007F129A"/>
    <w:rsid w:val="007F14EA"/>
    <w:rsid w:val="007F159A"/>
    <w:rsid w:val="007F1BCC"/>
    <w:rsid w:val="007F27B5"/>
    <w:rsid w:val="007F4E7E"/>
    <w:rsid w:val="007F5903"/>
    <w:rsid w:val="007F6522"/>
    <w:rsid w:val="007F6DED"/>
    <w:rsid w:val="007F72C9"/>
    <w:rsid w:val="00800D67"/>
    <w:rsid w:val="008022E5"/>
    <w:rsid w:val="008029B7"/>
    <w:rsid w:val="00802F2F"/>
    <w:rsid w:val="008059B0"/>
    <w:rsid w:val="0081137B"/>
    <w:rsid w:val="00811A04"/>
    <w:rsid w:val="00811D32"/>
    <w:rsid w:val="008141B0"/>
    <w:rsid w:val="00815BF3"/>
    <w:rsid w:val="0081687C"/>
    <w:rsid w:val="00816FDD"/>
    <w:rsid w:val="00817DC1"/>
    <w:rsid w:val="00820A86"/>
    <w:rsid w:val="00822C0D"/>
    <w:rsid w:val="00823513"/>
    <w:rsid w:val="00823873"/>
    <w:rsid w:val="00824B29"/>
    <w:rsid w:val="00825584"/>
    <w:rsid w:val="008261AB"/>
    <w:rsid w:val="008264F9"/>
    <w:rsid w:val="00827995"/>
    <w:rsid w:val="008332DE"/>
    <w:rsid w:val="00834BE3"/>
    <w:rsid w:val="008371CA"/>
    <w:rsid w:val="008372C1"/>
    <w:rsid w:val="00841281"/>
    <w:rsid w:val="00842E9F"/>
    <w:rsid w:val="00844520"/>
    <w:rsid w:val="008450FD"/>
    <w:rsid w:val="008453DA"/>
    <w:rsid w:val="00845D0F"/>
    <w:rsid w:val="0084614B"/>
    <w:rsid w:val="00846EB2"/>
    <w:rsid w:val="0084755F"/>
    <w:rsid w:val="00847A35"/>
    <w:rsid w:val="008501E3"/>
    <w:rsid w:val="008502B3"/>
    <w:rsid w:val="008502C3"/>
    <w:rsid w:val="0085033C"/>
    <w:rsid w:val="008525D4"/>
    <w:rsid w:val="00854229"/>
    <w:rsid w:val="0085453D"/>
    <w:rsid w:val="00855537"/>
    <w:rsid w:val="00855842"/>
    <w:rsid w:val="00856AE4"/>
    <w:rsid w:val="00857CF2"/>
    <w:rsid w:val="008617FF"/>
    <w:rsid w:val="00861A34"/>
    <w:rsid w:val="008643EC"/>
    <w:rsid w:val="00864CDE"/>
    <w:rsid w:val="00866585"/>
    <w:rsid w:val="00866617"/>
    <w:rsid w:val="008678F7"/>
    <w:rsid w:val="00867CC6"/>
    <w:rsid w:val="0087017E"/>
    <w:rsid w:val="00870FAE"/>
    <w:rsid w:val="00872555"/>
    <w:rsid w:val="008729D3"/>
    <w:rsid w:val="008764BF"/>
    <w:rsid w:val="00876643"/>
    <w:rsid w:val="00876CEE"/>
    <w:rsid w:val="0088221B"/>
    <w:rsid w:val="00883B33"/>
    <w:rsid w:val="00883B39"/>
    <w:rsid w:val="00883B46"/>
    <w:rsid w:val="00883F2D"/>
    <w:rsid w:val="008843E2"/>
    <w:rsid w:val="00884589"/>
    <w:rsid w:val="00891794"/>
    <w:rsid w:val="00891B72"/>
    <w:rsid w:val="00892452"/>
    <w:rsid w:val="00892FDA"/>
    <w:rsid w:val="008939C8"/>
    <w:rsid w:val="0089701A"/>
    <w:rsid w:val="008A06E6"/>
    <w:rsid w:val="008A0DF7"/>
    <w:rsid w:val="008A13FB"/>
    <w:rsid w:val="008A3298"/>
    <w:rsid w:val="008A4BE7"/>
    <w:rsid w:val="008A4EB0"/>
    <w:rsid w:val="008A558C"/>
    <w:rsid w:val="008A6389"/>
    <w:rsid w:val="008A6BCD"/>
    <w:rsid w:val="008A6D35"/>
    <w:rsid w:val="008A6FDF"/>
    <w:rsid w:val="008B0965"/>
    <w:rsid w:val="008B20E1"/>
    <w:rsid w:val="008B2E8B"/>
    <w:rsid w:val="008B37A4"/>
    <w:rsid w:val="008B4556"/>
    <w:rsid w:val="008B4D32"/>
    <w:rsid w:val="008B5B32"/>
    <w:rsid w:val="008B6854"/>
    <w:rsid w:val="008B69A3"/>
    <w:rsid w:val="008B7958"/>
    <w:rsid w:val="008C0B60"/>
    <w:rsid w:val="008C1466"/>
    <w:rsid w:val="008C1AC5"/>
    <w:rsid w:val="008C3042"/>
    <w:rsid w:val="008C443B"/>
    <w:rsid w:val="008C67E7"/>
    <w:rsid w:val="008C7DC0"/>
    <w:rsid w:val="008D1C2C"/>
    <w:rsid w:val="008D7422"/>
    <w:rsid w:val="008E1910"/>
    <w:rsid w:val="008E2F63"/>
    <w:rsid w:val="008E32A5"/>
    <w:rsid w:val="008E34FA"/>
    <w:rsid w:val="008E4A0E"/>
    <w:rsid w:val="008E70C0"/>
    <w:rsid w:val="008E7D55"/>
    <w:rsid w:val="008F0C1F"/>
    <w:rsid w:val="008F1923"/>
    <w:rsid w:val="008F2245"/>
    <w:rsid w:val="008F25B1"/>
    <w:rsid w:val="008F3F41"/>
    <w:rsid w:val="008F4F27"/>
    <w:rsid w:val="008F55CE"/>
    <w:rsid w:val="008F5C71"/>
    <w:rsid w:val="008F5E47"/>
    <w:rsid w:val="008F68E4"/>
    <w:rsid w:val="008F6A87"/>
    <w:rsid w:val="008F7EE7"/>
    <w:rsid w:val="00902714"/>
    <w:rsid w:val="009030C1"/>
    <w:rsid w:val="009048DC"/>
    <w:rsid w:val="00905434"/>
    <w:rsid w:val="0090646A"/>
    <w:rsid w:val="00906C97"/>
    <w:rsid w:val="00907269"/>
    <w:rsid w:val="00907DB8"/>
    <w:rsid w:val="009100AC"/>
    <w:rsid w:val="00911091"/>
    <w:rsid w:val="00911D51"/>
    <w:rsid w:val="009124E3"/>
    <w:rsid w:val="00912DD8"/>
    <w:rsid w:val="00913B45"/>
    <w:rsid w:val="00914F17"/>
    <w:rsid w:val="00920D02"/>
    <w:rsid w:val="009218E3"/>
    <w:rsid w:val="00922BFF"/>
    <w:rsid w:val="00923329"/>
    <w:rsid w:val="009247F7"/>
    <w:rsid w:val="009257D6"/>
    <w:rsid w:val="009307D9"/>
    <w:rsid w:val="00930888"/>
    <w:rsid w:val="00930C11"/>
    <w:rsid w:val="00933436"/>
    <w:rsid w:val="00934205"/>
    <w:rsid w:val="00934993"/>
    <w:rsid w:val="009362AD"/>
    <w:rsid w:val="00936B33"/>
    <w:rsid w:val="009372A2"/>
    <w:rsid w:val="0093758F"/>
    <w:rsid w:val="009403BB"/>
    <w:rsid w:val="009423D2"/>
    <w:rsid w:val="00942830"/>
    <w:rsid w:val="00944EC6"/>
    <w:rsid w:val="00945525"/>
    <w:rsid w:val="0095098E"/>
    <w:rsid w:val="009516F5"/>
    <w:rsid w:val="009551E3"/>
    <w:rsid w:val="00955339"/>
    <w:rsid w:val="009553D6"/>
    <w:rsid w:val="009570E9"/>
    <w:rsid w:val="0095725E"/>
    <w:rsid w:val="00961457"/>
    <w:rsid w:val="009625F9"/>
    <w:rsid w:val="009633C5"/>
    <w:rsid w:val="00967958"/>
    <w:rsid w:val="00967B96"/>
    <w:rsid w:val="009703C5"/>
    <w:rsid w:val="009703EB"/>
    <w:rsid w:val="00970A3C"/>
    <w:rsid w:val="00970ACF"/>
    <w:rsid w:val="00971136"/>
    <w:rsid w:val="009712B2"/>
    <w:rsid w:val="0097346E"/>
    <w:rsid w:val="00977563"/>
    <w:rsid w:val="009778FC"/>
    <w:rsid w:val="009800F3"/>
    <w:rsid w:val="009801FF"/>
    <w:rsid w:val="0098286B"/>
    <w:rsid w:val="00983755"/>
    <w:rsid w:val="00984D63"/>
    <w:rsid w:val="0098512F"/>
    <w:rsid w:val="0099210F"/>
    <w:rsid w:val="009924E1"/>
    <w:rsid w:val="00994516"/>
    <w:rsid w:val="009948BE"/>
    <w:rsid w:val="00995577"/>
    <w:rsid w:val="009957AE"/>
    <w:rsid w:val="00996948"/>
    <w:rsid w:val="00997B44"/>
    <w:rsid w:val="00997F08"/>
    <w:rsid w:val="009A140A"/>
    <w:rsid w:val="009A2A64"/>
    <w:rsid w:val="009A3A9E"/>
    <w:rsid w:val="009A3B87"/>
    <w:rsid w:val="009A4B50"/>
    <w:rsid w:val="009A5322"/>
    <w:rsid w:val="009A6D56"/>
    <w:rsid w:val="009A72D0"/>
    <w:rsid w:val="009A7771"/>
    <w:rsid w:val="009A7917"/>
    <w:rsid w:val="009B0D68"/>
    <w:rsid w:val="009B160C"/>
    <w:rsid w:val="009B19CE"/>
    <w:rsid w:val="009B1CC0"/>
    <w:rsid w:val="009B1E0B"/>
    <w:rsid w:val="009B2362"/>
    <w:rsid w:val="009B5D90"/>
    <w:rsid w:val="009B6ABC"/>
    <w:rsid w:val="009C338A"/>
    <w:rsid w:val="009C3C91"/>
    <w:rsid w:val="009C5419"/>
    <w:rsid w:val="009C56A8"/>
    <w:rsid w:val="009C5C0F"/>
    <w:rsid w:val="009C6321"/>
    <w:rsid w:val="009C675D"/>
    <w:rsid w:val="009D0053"/>
    <w:rsid w:val="009D0797"/>
    <w:rsid w:val="009D490E"/>
    <w:rsid w:val="009D5D4C"/>
    <w:rsid w:val="009D6C0B"/>
    <w:rsid w:val="009E347C"/>
    <w:rsid w:val="009E3FEC"/>
    <w:rsid w:val="009E49F8"/>
    <w:rsid w:val="009E63AA"/>
    <w:rsid w:val="009F1C20"/>
    <w:rsid w:val="009F1F67"/>
    <w:rsid w:val="009F2B7E"/>
    <w:rsid w:val="00A0209F"/>
    <w:rsid w:val="00A021F5"/>
    <w:rsid w:val="00A06DFD"/>
    <w:rsid w:val="00A07453"/>
    <w:rsid w:val="00A111A6"/>
    <w:rsid w:val="00A11698"/>
    <w:rsid w:val="00A124EF"/>
    <w:rsid w:val="00A14783"/>
    <w:rsid w:val="00A15682"/>
    <w:rsid w:val="00A16027"/>
    <w:rsid w:val="00A174AA"/>
    <w:rsid w:val="00A17A99"/>
    <w:rsid w:val="00A21396"/>
    <w:rsid w:val="00A217C0"/>
    <w:rsid w:val="00A231DC"/>
    <w:rsid w:val="00A2509F"/>
    <w:rsid w:val="00A25112"/>
    <w:rsid w:val="00A2604C"/>
    <w:rsid w:val="00A3271C"/>
    <w:rsid w:val="00A334C5"/>
    <w:rsid w:val="00A3453D"/>
    <w:rsid w:val="00A352DF"/>
    <w:rsid w:val="00A37839"/>
    <w:rsid w:val="00A4153E"/>
    <w:rsid w:val="00A42D51"/>
    <w:rsid w:val="00A445A1"/>
    <w:rsid w:val="00A445B4"/>
    <w:rsid w:val="00A459D2"/>
    <w:rsid w:val="00A45FE7"/>
    <w:rsid w:val="00A46328"/>
    <w:rsid w:val="00A467B3"/>
    <w:rsid w:val="00A472CC"/>
    <w:rsid w:val="00A476E3"/>
    <w:rsid w:val="00A50305"/>
    <w:rsid w:val="00A50FB3"/>
    <w:rsid w:val="00A51F20"/>
    <w:rsid w:val="00A52551"/>
    <w:rsid w:val="00A52F15"/>
    <w:rsid w:val="00A54684"/>
    <w:rsid w:val="00A54765"/>
    <w:rsid w:val="00A55818"/>
    <w:rsid w:val="00A55904"/>
    <w:rsid w:val="00A55B5B"/>
    <w:rsid w:val="00A566B6"/>
    <w:rsid w:val="00A60073"/>
    <w:rsid w:val="00A60114"/>
    <w:rsid w:val="00A605C0"/>
    <w:rsid w:val="00A60EAA"/>
    <w:rsid w:val="00A6386B"/>
    <w:rsid w:val="00A64E67"/>
    <w:rsid w:val="00A65161"/>
    <w:rsid w:val="00A65431"/>
    <w:rsid w:val="00A670DA"/>
    <w:rsid w:val="00A71742"/>
    <w:rsid w:val="00A75C2C"/>
    <w:rsid w:val="00A76366"/>
    <w:rsid w:val="00A76D9F"/>
    <w:rsid w:val="00A777CE"/>
    <w:rsid w:val="00A81EB1"/>
    <w:rsid w:val="00A835EC"/>
    <w:rsid w:val="00A85557"/>
    <w:rsid w:val="00A903D8"/>
    <w:rsid w:val="00A908E4"/>
    <w:rsid w:val="00A913C2"/>
    <w:rsid w:val="00A93EB7"/>
    <w:rsid w:val="00A957AC"/>
    <w:rsid w:val="00A961FF"/>
    <w:rsid w:val="00A96728"/>
    <w:rsid w:val="00A970E1"/>
    <w:rsid w:val="00A9767A"/>
    <w:rsid w:val="00AA0783"/>
    <w:rsid w:val="00AA1BC5"/>
    <w:rsid w:val="00AA253D"/>
    <w:rsid w:val="00AA264D"/>
    <w:rsid w:val="00AA33D3"/>
    <w:rsid w:val="00AA45AB"/>
    <w:rsid w:val="00AA4B23"/>
    <w:rsid w:val="00AA4E42"/>
    <w:rsid w:val="00AA63F8"/>
    <w:rsid w:val="00AA644E"/>
    <w:rsid w:val="00AA6AE4"/>
    <w:rsid w:val="00AA75BB"/>
    <w:rsid w:val="00AA7F18"/>
    <w:rsid w:val="00AB1059"/>
    <w:rsid w:val="00AB157B"/>
    <w:rsid w:val="00AB2C79"/>
    <w:rsid w:val="00AB3FF2"/>
    <w:rsid w:val="00AB415B"/>
    <w:rsid w:val="00AB5CC9"/>
    <w:rsid w:val="00AB6662"/>
    <w:rsid w:val="00AB67CD"/>
    <w:rsid w:val="00AB727F"/>
    <w:rsid w:val="00AB7AC4"/>
    <w:rsid w:val="00AC07A4"/>
    <w:rsid w:val="00AC177C"/>
    <w:rsid w:val="00AC2051"/>
    <w:rsid w:val="00AC2AEA"/>
    <w:rsid w:val="00AC366D"/>
    <w:rsid w:val="00AC4C6A"/>
    <w:rsid w:val="00AC5155"/>
    <w:rsid w:val="00AC5858"/>
    <w:rsid w:val="00AC5E99"/>
    <w:rsid w:val="00AC794F"/>
    <w:rsid w:val="00AC7EEE"/>
    <w:rsid w:val="00AD17D0"/>
    <w:rsid w:val="00AD234D"/>
    <w:rsid w:val="00AD3A12"/>
    <w:rsid w:val="00AD3B90"/>
    <w:rsid w:val="00AD55B1"/>
    <w:rsid w:val="00AD573D"/>
    <w:rsid w:val="00AD6693"/>
    <w:rsid w:val="00AE1DF8"/>
    <w:rsid w:val="00AE245A"/>
    <w:rsid w:val="00AE7B1A"/>
    <w:rsid w:val="00AF0849"/>
    <w:rsid w:val="00AF08D7"/>
    <w:rsid w:val="00AF172E"/>
    <w:rsid w:val="00AF1D93"/>
    <w:rsid w:val="00AF2B6F"/>
    <w:rsid w:val="00AF2E14"/>
    <w:rsid w:val="00AF3EA8"/>
    <w:rsid w:val="00AF408C"/>
    <w:rsid w:val="00AF4124"/>
    <w:rsid w:val="00AF5CD3"/>
    <w:rsid w:val="00AF6085"/>
    <w:rsid w:val="00B00641"/>
    <w:rsid w:val="00B01243"/>
    <w:rsid w:val="00B01AE3"/>
    <w:rsid w:val="00B0200B"/>
    <w:rsid w:val="00B02CE3"/>
    <w:rsid w:val="00B04B59"/>
    <w:rsid w:val="00B10378"/>
    <w:rsid w:val="00B118B3"/>
    <w:rsid w:val="00B127FC"/>
    <w:rsid w:val="00B128F3"/>
    <w:rsid w:val="00B1491F"/>
    <w:rsid w:val="00B160BD"/>
    <w:rsid w:val="00B16427"/>
    <w:rsid w:val="00B17A35"/>
    <w:rsid w:val="00B2072F"/>
    <w:rsid w:val="00B21DB2"/>
    <w:rsid w:val="00B22983"/>
    <w:rsid w:val="00B22DD3"/>
    <w:rsid w:val="00B2340A"/>
    <w:rsid w:val="00B266B0"/>
    <w:rsid w:val="00B2691C"/>
    <w:rsid w:val="00B270E9"/>
    <w:rsid w:val="00B2778C"/>
    <w:rsid w:val="00B31416"/>
    <w:rsid w:val="00B32974"/>
    <w:rsid w:val="00B329C5"/>
    <w:rsid w:val="00B32EDA"/>
    <w:rsid w:val="00B33362"/>
    <w:rsid w:val="00B34541"/>
    <w:rsid w:val="00B3535D"/>
    <w:rsid w:val="00B360B7"/>
    <w:rsid w:val="00B36260"/>
    <w:rsid w:val="00B367D1"/>
    <w:rsid w:val="00B37E2B"/>
    <w:rsid w:val="00B41A8E"/>
    <w:rsid w:val="00B42159"/>
    <w:rsid w:val="00B431DC"/>
    <w:rsid w:val="00B45891"/>
    <w:rsid w:val="00B4594C"/>
    <w:rsid w:val="00B47E6B"/>
    <w:rsid w:val="00B5117C"/>
    <w:rsid w:val="00B5642F"/>
    <w:rsid w:val="00B574A1"/>
    <w:rsid w:val="00B57E44"/>
    <w:rsid w:val="00B6158F"/>
    <w:rsid w:val="00B64957"/>
    <w:rsid w:val="00B64BB4"/>
    <w:rsid w:val="00B64C6D"/>
    <w:rsid w:val="00B65A17"/>
    <w:rsid w:val="00B675D8"/>
    <w:rsid w:val="00B7137C"/>
    <w:rsid w:val="00B71CDC"/>
    <w:rsid w:val="00B73153"/>
    <w:rsid w:val="00B7404A"/>
    <w:rsid w:val="00B7449E"/>
    <w:rsid w:val="00B76836"/>
    <w:rsid w:val="00B769D6"/>
    <w:rsid w:val="00B76D2F"/>
    <w:rsid w:val="00B76DEB"/>
    <w:rsid w:val="00B775D9"/>
    <w:rsid w:val="00B8252E"/>
    <w:rsid w:val="00B83969"/>
    <w:rsid w:val="00B847A2"/>
    <w:rsid w:val="00B84FE1"/>
    <w:rsid w:val="00B861D2"/>
    <w:rsid w:val="00B8717C"/>
    <w:rsid w:val="00B903D7"/>
    <w:rsid w:val="00B904CA"/>
    <w:rsid w:val="00B90631"/>
    <w:rsid w:val="00B91CC9"/>
    <w:rsid w:val="00B95790"/>
    <w:rsid w:val="00B9664A"/>
    <w:rsid w:val="00BA05B2"/>
    <w:rsid w:val="00BA23DD"/>
    <w:rsid w:val="00BA2498"/>
    <w:rsid w:val="00BA33C4"/>
    <w:rsid w:val="00BA3B9C"/>
    <w:rsid w:val="00BA457F"/>
    <w:rsid w:val="00BA5939"/>
    <w:rsid w:val="00BA5F4A"/>
    <w:rsid w:val="00BA66F7"/>
    <w:rsid w:val="00BB002A"/>
    <w:rsid w:val="00BB1194"/>
    <w:rsid w:val="00BB2249"/>
    <w:rsid w:val="00BB2A13"/>
    <w:rsid w:val="00BB3C5F"/>
    <w:rsid w:val="00BB3EF1"/>
    <w:rsid w:val="00BB46C9"/>
    <w:rsid w:val="00BB5DFB"/>
    <w:rsid w:val="00BB701E"/>
    <w:rsid w:val="00BC32D7"/>
    <w:rsid w:val="00BC364C"/>
    <w:rsid w:val="00BC3EAB"/>
    <w:rsid w:val="00BC4B87"/>
    <w:rsid w:val="00BC5282"/>
    <w:rsid w:val="00BC7F3A"/>
    <w:rsid w:val="00BD3838"/>
    <w:rsid w:val="00BD44DC"/>
    <w:rsid w:val="00BD609C"/>
    <w:rsid w:val="00BD60E2"/>
    <w:rsid w:val="00BE0341"/>
    <w:rsid w:val="00BE0437"/>
    <w:rsid w:val="00BE0DE4"/>
    <w:rsid w:val="00BE221C"/>
    <w:rsid w:val="00BE2A87"/>
    <w:rsid w:val="00BE2D29"/>
    <w:rsid w:val="00BE7231"/>
    <w:rsid w:val="00BF03C9"/>
    <w:rsid w:val="00BF0912"/>
    <w:rsid w:val="00BF0CE6"/>
    <w:rsid w:val="00BF13CE"/>
    <w:rsid w:val="00BF1708"/>
    <w:rsid w:val="00BF2147"/>
    <w:rsid w:val="00BF3EDE"/>
    <w:rsid w:val="00BF480F"/>
    <w:rsid w:val="00BF48E4"/>
    <w:rsid w:val="00BF4E63"/>
    <w:rsid w:val="00BF610A"/>
    <w:rsid w:val="00BF62CC"/>
    <w:rsid w:val="00C04C10"/>
    <w:rsid w:val="00C07DF6"/>
    <w:rsid w:val="00C11605"/>
    <w:rsid w:val="00C152EA"/>
    <w:rsid w:val="00C2146A"/>
    <w:rsid w:val="00C24153"/>
    <w:rsid w:val="00C24CEF"/>
    <w:rsid w:val="00C24FBF"/>
    <w:rsid w:val="00C252A0"/>
    <w:rsid w:val="00C25697"/>
    <w:rsid w:val="00C26313"/>
    <w:rsid w:val="00C2647C"/>
    <w:rsid w:val="00C270EB"/>
    <w:rsid w:val="00C27FA6"/>
    <w:rsid w:val="00C30F95"/>
    <w:rsid w:val="00C32021"/>
    <w:rsid w:val="00C32AE9"/>
    <w:rsid w:val="00C35DD0"/>
    <w:rsid w:val="00C36369"/>
    <w:rsid w:val="00C41825"/>
    <w:rsid w:val="00C4188C"/>
    <w:rsid w:val="00C4227D"/>
    <w:rsid w:val="00C42E3D"/>
    <w:rsid w:val="00C44E46"/>
    <w:rsid w:val="00C455B5"/>
    <w:rsid w:val="00C456A5"/>
    <w:rsid w:val="00C5335A"/>
    <w:rsid w:val="00C53381"/>
    <w:rsid w:val="00C53EC4"/>
    <w:rsid w:val="00C54A3A"/>
    <w:rsid w:val="00C54BB1"/>
    <w:rsid w:val="00C567F2"/>
    <w:rsid w:val="00C6034B"/>
    <w:rsid w:val="00C603C6"/>
    <w:rsid w:val="00C613B1"/>
    <w:rsid w:val="00C6181F"/>
    <w:rsid w:val="00C654FE"/>
    <w:rsid w:val="00C67CFC"/>
    <w:rsid w:val="00C70ACA"/>
    <w:rsid w:val="00C71542"/>
    <w:rsid w:val="00C71F77"/>
    <w:rsid w:val="00C724FF"/>
    <w:rsid w:val="00C729F7"/>
    <w:rsid w:val="00C72C39"/>
    <w:rsid w:val="00C74EAA"/>
    <w:rsid w:val="00C76409"/>
    <w:rsid w:val="00C76F32"/>
    <w:rsid w:val="00C80198"/>
    <w:rsid w:val="00C80768"/>
    <w:rsid w:val="00C80900"/>
    <w:rsid w:val="00C80A49"/>
    <w:rsid w:val="00C8170D"/>
    <w:rsid w:val="00C818EA"/>
    <w:rsid w:val="00C81B67"/>
    <w:rsid w:val="00C8224E"/>
    <w:rsid w:val="00C825C7"/>
    <w:rsid w:val="00C82C40"/>
    <w:rsid w:val="00C82D82"/>
    <w:rsid w:val="00C82E2A"/>
    <w:rsid w:val="00C840C3"/>
    <w:rsid w:val="00C84B3B"/>
    <w:rsid w:val="00C91767"/>
    <w:rsid w:val="00C942BA"/>
    <w:rsid w:val="00C94786"/>
    <w:rsid w:val="00C97135"/>
    <w:rsid w:val="00CA1BBB"/>
    <w:rsid w:val="00CA3184"/>
    <w:rsid w:val="00CA3DD4"/>
    <w:rsid w:val="00CA3EFF"/>
    <w:rsid w:val="00CA43C8"/>
    <w:rsid w:val="00CA45F4"/>
    <w:rsid w:val="00CA4EF3"/>
    <w:rsid w:val="00CB1FB2"/>
    <w:rsid w:val="00CB1FEB"/>
    <w:rsid w:val="00CB42BA"/>
    <w:rsid w:val="00CB5046"/>
    <w:rsid w:val="00CB51CD"/>
    <w:rsid w:val="00CB5845"/>
    <w:rsid w:val="00CB6184"/>
    <w:rsid w:val="00CB71BA"/>
    <w:rsid w:val="00CC0280"/>
    <w:rsid w:val="00CC13EA"/>
    <w:rsid w:val="00CC1B0C"/>
    <w:rsid w:val="00CC2586"/>
    <w:rsid w:val="00CC29F9"/>
    <w:rsid w:val="00CC4AE5"/>
    <w:rsid w:val="00CC570E"/>
    <w:rsid w:val="00CC6C38"/>
    <w:rsid w:val="00CC6DF8"/>
    <w:rsid w:val="00CD2507"/>
    <w:rsid w:val="00CD3175"/>
    <w:rsid w:val="00CD464C"/>
    <w:rsid w:val="00CD4897"/>
    <w:rsid w:val="00CD5B89"/>
    <w:rsid w:val="00CD6117"/>
    <w:rsid w:val="00CE08AE"/>
    <w:rsid w:val="00CE08BB"/>
    <w:rsid w:val="00CE176C"/>
    <w:rsid w:val="00CE2A59"/>
    <w:rsid w:val="00CE2A5D"/>
    <w:rsid w:val="00CE5459"/>
    <w:rsid w:val="00CE5629"/>
    <w:rsid w:val="00CE589D"/>
    <w:rsid w:val="00CE5D34"/>
    <w:rsid w:val="00CE78ED"/>
    <w:rsid w:val="00CE7B79"/>
    <w:rsid w:val="00CF05B0"/>
    <w:rsid w:val="00CF20C4"/>
    <w:rsid w:val="00CF2D1F"/>
    <w:rsid w:val="00CF3163"/>
    <w:rsid w:val="00CF4020"/>
    <w:rsid w:val="00CF53A3"/>
    <w:rsid w:val="00CF5697"/>
    <w:rsid w:val="00CF6A48"/>
    <w:rsid w:val="00CF6F53"/>
    <w:rsid w:val="00CF7AA2"/>
    <w:rsid w:val="00D00AF2"/>
    <w:rsid w:val="00D013B5"/>
    <w:rsid w:val="00D01AB7"/>
    <w:rsid w:val="00D01FD4"/>
    <w:rsid w:val="00D05226"/>
    <w:rsid w:val="00D06351"/>
    <w:rsid w:val="00D068BA"/>
    <w:rsid w:val="00D06CFE"/>
    <w:rsid w:val="00D10227"/>
    <w:rsid w:val="00D1080F"/>
    <w:rsid w:val="00D10E9D"/>
    <w:rsid w:val="00D1141F"/>
    <w:rsid w:val="00D135BC"/>
    <w:rsid w:val="00D14D9E"/>
    <w:rsid w:val="00D16FF2"/>
    <w:rsid w:val="00D201A5"/>
    <w:rsid w:val="00D20DE1"/>
    <w:rsid w:val="00D226D7"/>
    <w:rsid w:val="00D22DF6"/>
    <w:rsid w:val="00D25628"/>
    <w:rsid w:val="00D25914"/>
    <w:rsid w:val="00D25D37"/>
    <w:rsid w:val="00D26133"/>
    <w:rsid w:val="00D26918"/>
    <w:rsid w:val="00D27347"/>
    <w:rsid w:val="00D3125D"/>
    <w:rsid w:val="00D32906"/>
    <w:rsid w:val="00D329EA"/>
    <w:rsid w:val="00D332C9"/>
    <w:rsid w:val="00D34558"/>
    <w:rsid w:val="00D3754E"/>
    <w:rsid w:val="00D406B0"/>
    <w:rsid w:val="00D412E9"/>
    <w:rsid w:val="00D415C0"/>
    <w:rsid w:val="00D41640"/>
    <w:rsid w:val="00D454A3"/>
    <w:rsid w:val="00D51386"/>
    <w:rsid w:val="00D51D0E"/>
    <w:rsid w:val="00D52A33"/>
    <w:rsid w:val="00D55473"/>
    <w:rsid w:val="00D55BBE"/>
    <w:rsid w:val="00D56FC2"/>
    <w:rsid w:val="00D57415"/>
    <w:rsid w:val="00D60E09"/>
    <w:rsid w:val="00D64FE4"/>
    <w:rsid w:val="00D70966"/>
    <w:rsid w:val="00D71096"/>
    <w:rsid w:val="00D72058"/>
    <w:rsid w:val="00D72EAB"/>
    <w:rsid w:val="00D7344B"/>
    <w:rsid w:val="00D7364D"/>
    <w:rsid w:val="00D775A6"/>
    <w:rsid w:val="00D77BBF"/>
    <w:rsid w:val="00D77E97"/>
    <w:rsid w:val="00D820ED"/>
    <w:rsid w:val="00D83AFA"/>
    <w:rsid w:val="00D83ED4"/>
    <w:rsid w:val="00D86334"/>
    <w:rsid w:val="00D87673"/>
    <w:rsid w:val="00D877FD"/>
    <w:rsid w:val="00D87913"/>
    <w:rsid w:val="00D90A4B"/>
    <w:rsid w:val="00D91068"/>
    <w:rsid w:val="00D91698"/>
    <w:rsid w:val="00D91B05"/>
    <w:rsid w:val="00D93FF6"/>
    <w:rsid w:val="00D941C6"/>
    <w:rsid w:val="00D94661"/>
    <w:rsid w:val="00D95937"/>
    <w:rsid w:val="00D95A28"/>
    <w:rsid w:val="00D95E43"/>
    <w:rsid w:val="00DA0A1D"/>
    <w:rsid w:val="00DA1223"/>
    <w:rsid w:val="00DA2845"/>
    <w:rsid w:val="00DA4098"/>
    <w:rsid w:val="00DA45E1"/>
    <w:rsid w:val="00DB0E84"/>
    <w:rsid w:val="00DB2160"/>
    <w:rsid w:val="00DB3109"/>
    <w:rsid w:val="00DB3F00"/>
    <w:rsid w:val="00DB4776"/>
    <w:rsid w:val="00DB6CC4"/>
    <w:rsid w:val="00DB784D"/>
    <w:rsid w:val="00DC0D3E"/>
    <w:rsid w:val="00DC3AD2"/>
    <w:rsid w:val="00DC6CA1"/>
    <w:rsid w:val="00DD01D6"/>
    <w:rsid w:val="00DD03D9"/>
    <w:rsid w:val="00DD0C75"/>
    <w:rsid w:val="00DD1D56"/>
    <w:rsid w:val="00DD1F4A"/>
    <w:rsid w:val="00DD2261"/>
    <w:rsid w:val="00DD3182"/>
    <w:rsid w:val="00DD5077"/>
    <w:rsid w:val="00DE080E"/>
    <w:rsid w:val="00DE10DE"/>
    <w:rsid w:val="00DE17D2"/>
    <w:rsid w:val="00DE17F1"/>
    <w:rsid w:val="00DE3CCF"/>
    <w:rsid w:val="00DE4B24"/>
    <w:rsid w:val="00DE5070"/>
    <w:rsid w:val="00DE62CB"/>
    <w:rsid w:val="00DF103C"/>
    <w:rsid w:val="00DF17E4"/>
    <w:rsid w:val="00DF2F0A"/>
    <w:rsid w:val="00DF3024"/>
    <w:rsid w:val="00DF430F"/>
    <w:rsid w:val="00DF519F"/>
    <w:rsid w:val="00DF645F"/>
    <w:rsid w:val="00DF755E"/>
    <w:rsid w:val="00E001D5"/>
    <w:rsid w:val="00E00FFE"/>
    <w:rsid w:val="00E01C20"/>
    <w:rsid w:val="00E022F9"/>
    <w:rsid w:val="00E02634"/>
    <w:rsid w:val="00E033F5"/>
    <w:rsid w:val="00E05889"/>
    <w:rsid w:val="00E0733D"/>
    <w:rsid w:val="00E0771D"/>
    <w:rsid w:val="00E10FA7"/>
    <w:rsid w:val="00E11216"/>
    <w:rsid w:val="00E11BAF"/>
    <w:rsid w:val="00E130BA"/>
    <w:rsid w:val="00E13ADD"/>
    <w:rsid w:val="00E13C58"/>
    <w:rsid w:val="00E1577D"/>
    <w:rsid w:val="00E16F56"/>
    <w:rsid w:val="00E17DCC"/>
    <w:rsid w:val="00E20A0A"/>
    <w:rsid w:val="00E210A6"/>
    <w:rsid w:val="00E21D0A"/>
    <w:rsid w:val="00E2617E"/>
    <w:rsid w:val="00E2635F"/>
    <w:rsid w:val="00E26D97"/>
    <w:rsid w:val="00E27121"/>
    <w:rsid w:val="00E3176D"/>
    <w:rsid w:val="00E3208A"/>
    <w:rsid w:val="00E33430"/>
    <w:rsid w:val="00E342BF"/>
    <w:rsid w:val="00E342F1"/>
    <w:rsid w:val="00E345A3"/>
    <w:rsid w:val="00E35213"/>
    <w:rsid w:val="00E36320"/>
    <w:rsid w:val="00E37245"/>
    <w:rsid w:val="00E3729F"/>
    <w:rsid w:val="00E37590"/>
    <w:rsid w:val="00E404DB"/>
    <w:rsid w:val="00E405D3"/>
    <w:rsid w:val="00E40FFF"/>
    <w:rsid w:val="00E411DB"/>
    <w:rsid w:val="00E4236B"/>
    <w:rsid w:val="00E423C1"/>
    <w:rsid w:val="00E43E17"/>
    <w:rsid w:val="00E43FBB"/>
    <w:rsid w:val="00E446B6"/>
    <w:rsid w:val="00E453A8"/>
    <w:rsid w:val="00E459E5"/>
    <w:rsid w:val="00E45E47"/>
    <w:rsid w:val="00E45EC0"/>
    <w:rsid w:val="00E463FD"/>
    <w:rsid w:val="00E46407"/>
    <w:rsid w:val="00E46C44"/>
    <w:rsid w:val="00E47339"/>
    <w:rsid w:val="00E52CDE"/>
    <w:rsid w:val="00E53EA2"/>
    <w:rsid w:val="00E578E3"/>
    <w:rsid w:val="00E612B6"/>
    <w:rsid w:val="00E61AD9"/>
    <w:rsid w:val="00E61FD9"/>
    <w:rsid w:val="00E63736"/>
    <w:rsid w:val="00E652DD"/>
    <w:rsid w:val="00E72450"/>
    <w:rsid w:val="00E7245E"/>
    <w:rsid w:val="00E73487"/>
    <w:rsid w:val="00E75FE3"/>
    <w:rsid w:val="00E77493"/>
    <w:rsid w:val="00E800C4"/>
    <w:rsid w:val="00E80C41"/>
    <w:rsid w:val="00E8353B"/>
    <w:rsid w:val="00E83542"/>
    <w:rsid w:val="00E850F9"/>
    <w:rsid w:val="00E865DB"/>
    <w:rsid w:val="00E86D23"/>
    <w:rsid w:val="00E86EF1"/>
    <w:rsid w:val="00E95512"/>
    <w:rsid w:val="00E96E80"/>
    <w:rsid w:val="00E976D3"/>
    <w:rsid w:val="00EA53CE"/>
    <w:rsid w:val="00EA5617"/>
    <w:rsid w:val="00EA5898"/>
    <w:rsid w:val="00EA58D9"/>
    <w:rsid w:val="00EA7252"/>
    <w:rsid w:val="00EA796E"/>
    <w:rsid w:val="00EB0CC7"/>
    <w:rsid w:val="00EB20F8"/>
    <w:rsid w:val="00EB2133"/>
    <w:rsid w:val="00EB3D9F"/>
    <w:rsid w:val="00EB5064"/>
    <w:rsid w:val="00EB61B8"/>
    <w:rsid w:val="00EB66E2"/>
    <w:rsid w:val="00EB6BDA"/>
    <w:rsid w:val="00EC2B21"/>
    <w:rsid w:val="00EC2FFF"/>
    <w:rsid w:val="00EC3F0F"/>
    <w:rsid w:val="00EC4C78"/>
    <w:rsid w:val="00EC565F"/>
    <w:rsid w:val="00ED00EC"/>
    <w:rsid w:val="00ED0C5A"/>
    <w:rsid w:val="00ED2CB5"/>
    <w:rsid w:val="00ED381C"/>
    <w:rsid w:val="00ED39B3"/>
    <w:rsid w:val="00ED692F"/>
    <w:rsid w:val="00ED74A2"/>
    <w:rsid w:val="00EE6FFB"/>
    <w:rsid w:val="00EF0BBA"/>
    <w:rsid w:val="00EF299E"/>
    <w:rsid w:val="00EF5279"/>
    <w:rsid w:val="00EF5947"/>
    <w:rsid w:val="00EF6A14"/>
    <w:rsid w:val="00EF718F"/>
    <w:rsid w:val="00EF7CAC"/>
    <w:rsid w:val="00F00F9A"/>
    <w:rsid w:val="00F01525"/>
    <w:rsid w:val="00F03A2A"/>
    <w:rsid w:val="00F040F7"/>
    <w:rsid w:val="00F0508B"/>
    <w:rsid w:val="00F11796"/>
    <w:rsid w:val="00F13E87"/>
    <w:rsid w:val="00F15259"/>
    <w:rsid w:val="00F155AF"/>
    <w:rsid w:val="00F15655"/>
    <w:rsid w:val="00F15A55"/>
    <w:rsid w:val="00F15B07"/>
    <w:rsid w:val="00F15B3D"/>
    <w:rsid w:val="00F16CF2"/>
    <w:rsid w:val="00F2265B"/>
    <w:rsid w:val="00F23BAC"/>
    <w:rsid w:val="00F240EF"/>
    <w:rsid w:val="00F24827"/>
    <w:rsid w:val="00F25685"/>
    <w:rsid w:val="00F30570"/>
    <w:rsid w:val="00F31924"/>
    <w:rsid w:val="00F32AC3"/>
    <w:rsid w:val="00F33588"/>
    <w:rsid w:val="00F345AC"/>
    <w:rsid w:val="00F412F6"/>
    <w:rsid w:val="00F414BA"/>
    <w:rsid w:val="00F414C0"/>
    <w:rsid w:val="00F4296F"/>
    <w:rsid w:val="00F43688"/>
    <w:rsid w:val="00F43AF3"/>
    <w:rsid w:val="00F4473B"/>
    <w:rsid w:val="00F4526E"/>
    <w:rsid w:val="00F47263"/>
    <w:rsid w:val="00F50C00"/>
    <w:rsid w:val="00F51B93"/>
    <w:rsid w:val="00F5230F"/>
    <w:rsid w:val="00F557C8"/>
    <w:rsid w:val="00F62014"/>
    <w:rsid w:val="00F624AA"/>
    <w:rsid w:val="00F62FF4"/>
    <w:rsid w:val="00F634B5"/>
    <w:rsid w:val="00F66165"/>
    <w:rsid w:val="00F705EF"/>
    <w:rsid w:val="00F70D7C"/>
    <w:rsid w:val="00F7142E"/>
    <w:rsid w:val="00F73ECB"/>
    <w:rsid w:val="00F75DDC"/>
    <w:rsid w:val="00F765C5"/>
    <w:rsid w:val="00F769DA"/>
    <w:rsid w:val="00F81238"/>
    <w:rsid w:val="00F8145F"/>
    <w:rsid w:val="00F837EF"/>
    <w:rsid w:val="00F83D01"/>
    <w:rsid w:val="00F84723"/>
    <w:rsid w:val="00F8498E"/>
    <w:rsid w:val="00F85121"/>
    <w:rsid w:val="00F865A0"/>
    <w:rsid w:val="00F92412"/>
    <w:rsid w:val="00F94A81"/>
    <w:rsid w:val="00F94E8E"/>
    <w:rsid w:val="00F972E8"/>
    <w:rsid w:val="00F97ECB"/>
    <w:rsid w:val="00FA0CF0"/>
    <w:rsid w:val="00FA17B5"/>
    <w:rsid w:val="00FA4884"/>
    <w:rsid w:val="00FA5219"/>
    <w:rsid w:val="00FA5253"/>
    <w:rsid w:val="00FA79DE"/>
    <w:rsid w:val="00FB1A4F"/>
    <w:rsid w:val="00FB2BAB"/>
    <w:rsid w:val="00FB4273"/>
    <w:rsid w:val="00FB454B"/>
    <w:rsid w:val="00FB555A"/>
    <w:rsid w:val="00FB6381"/>
    <w:rsid w:val="00FC3920"/>
    <w:rsid w:val="00FC3A2D"/>
    <w:rsid w:val="00FC563C"/>
    <w:rsid w:val="00FC6068"/>
    <w:rsid w:val="00FD04EB"/>
    <w:rsid w:val="00FD0938"/>
    <w:rsid w:val="00FD0F56"/>
    <w:rsid w:val="00FD203A"/>
    <w:rsid w:val="00FD23AB"/>
    <w:rsid w:val="00FE1A9A"/>
    <w:rsid w:val="00FE1FFC"/>
    <w:rsid w:val="00FE20AE"/>
    <w:rsid w:val="00FE20E8"/>
    <w:rsid w:val="00FE3456"/>
    <w:rsid w:val="00FE3ACE"/>
    <w:rsid w:val="00FE6195"/>
    <w:rsid w:val="00FF1790"/>
    <w:rsid w:val="00FF42C4"/>
    <w:rsid w:val="00FF46C3"/>
    <w:rsid w:val="01B50676"/>
    <w:rsid w:val="023961B7"/>
    <w:rsid w:val="02715DC8"/>
    <w:rsid w:val="02D30D0F"/>
    <w:rsid w:val="03155BBA"/>
    <w:rsid w:val="03637BAB"/>
    <w:rsid w:val="037A5976"/>
    <w:rsid w:val="055A0111"/>
    <w:rsid w:val="068A38E2"/>
    <w:rsid w:val="068E5516"/>
    <w:rsid w:val="06CE1DB6"/>
    <w:rsid w:val="072D157A"/>
    <w:rsid w:val="076A4D81"/>
    <w:rsid w:val="07CF1F10"/>
    <w:rsid w:val="07DD5429"/>
    <w:rsid w:val="08D07D80"/>
    <w:rsid w:val="08F967C4"/>
    <w:rsid w:val="09120680"/>
    <w:rsid w:val="09356AEF"/>
    <w:rsid w:val="094810A0"/>
    <w:rsid w:val="099E0001"/>
    <w:rsid w:val="0A624EAE"/>
    <w:rsid w:val="0BB426E8"/>
    <w:rsid w:val="0BBC150C"/>
    <w:rsid w:val="0BBD654B"/>
    <w:rsid w:val="0BDE6F3F"/>
    <w:rsid w:val="0C20714E"/>
    <w:rsid w:val="0C791135"/>
    <w:rsid w:val="0D8E764B"/>
    <w:rsid w:val="0D8F2C60"/>
    <w:rsid w:val="0DA80DC1"/>
    <w:rsid w:val="0DDE5878"/>
    <w:rsid w:val="0DE272C2"/>
    <w:rsid w:val="0DF83BAD"/>
    <w:rsid w:val="0F0616F6"/>
    <w:rsid w:val="0F231205"/>
    <w:rsid w:val="0FB654ED"/>
    <w:rsid w:val="10C64F4C"/>
    <w:rsid w:val="11215B65"/>
    <w:rsid w:val="112A7CBD"/>
    <w:rsid w:val="1154735C"/>
    <w:rsid w:val="11DB6C41"/>
    <w:rsid w:val="121A3D69"/>
    <w:rsid w:val="12CE7BF2"/>
    <w:rsid w:val="139D2146"/>
    <w:rsid w:val="13AD37E6"/>
    <w:rsid w:val="143635EC"/>
    <w:rsid w:val="14A34810"/>
    <w:rsid w:val="14BF0A4B"/>
    <w:rsid w:val="14C43686"/>
    <w:rsid w:val="159C7453"/>
    <w:rsid w:val="16A10B91"/>
    <w:rsid w:val="16A7377F"/>
    <w:rsid w:val="16F8165D"/>
    <w:rsid w:val="17366FEF"/>
    <w:rsid w:val="173F4216"/>
    <w:rsid w:val="17A52E61"/>
    <w:rsid w:val="17EF096C"/>
    <w:rsid w:val="18205A53"/>
    <w:rsid w:val="18751294"/>
    <w:rsid w:val="18930C2E"/>
    <w:rsid w:val="18A84FE1"/>
    <w:rsid w:val="19FA0C26"/>
    <w:rsid w:val="1A53099B"/>
    <w:rsid w:val="1A7840BB"/>
    <w:rsid w:val="1A852918"/>
    <w:rsid w:val="1A8962D2"/>
    <w:rsid w:val="1A9C4D90"/>
    <w:rsid w:val="1B526113"/>
    <w:rsid w:val="1B654F1D"/>
    <w:rsid w:val="1B6A1E53"/>
    <w:rsid w:val="1CE06714"/>
    <w:rsid w:val="1D24428B"/>
    <w:rsid w:val="1D4F530C"/>
    <w:rsid w:val="1D7E5CD8"/>
    <w:rsid w:val="1DA04409"/>
    <w:rsid w:val="1DA13929"/>
    <w:rsid w:val="1E9731B1"/>
    <w:rsid w:val="1F2F4F63"/>
    <w:rsid w:val="1FE02A01"/>
    <w:rsid w:val="20146634"/>
    <w:rsid w:val="201C6D6B"/>
    <w:rsid w:val="202032CD"/>
    <w:rsid w:val="20A0495E"/>
    <w:rsid w:val="20B518D4"/>
    <w:rsid w:val="20B52C36"/>
    <w:rsid w:val="20DC66A5"/>
    <w:rsid w:val="22670134"/>
    <w:rsid w:val="22863271"/>
    <w:rsid w:val="233F6EDE"/>
    <w:rsid w:val="242B3BB1"/>
    <w:rsid w:val="2469328B"/>
    <w:rsid w:val="24732AF5"/>
    <w:rsid w:val="24917CB5"/>
    <w:rsid w:val="24BB4178"/>
    <w:rsid w:val="25094F3A"/>
    <w:rsid w:val="25B17EA4"/>
    <w:rsid w:val="26225596"/>
    <w:rsid w:val="26574C62"/>
    <w:rsid w:val="267E1F1E"/>
    <w:rsid w:val="268C786C"/>
    <w:rsid w:val="2709037E"/>
    <w:rsid w:val="27102C28"/>
    <w:rsid w:val="287322AA"/>
    <w:rsid w:val="28BE1CE0"/>
    <w:rsid w:val="28E43189"/>
    <w:rsid w:val="29F51B9E"/>
    <w:rsid w:val="2A5A5F2F"/>
    <w:rsid w:val="2AB63AD4"/>
    <w:rsid w:val="2AC42599"/>
    <w:rsid w:val="2BA11D0F"/>
    <w:rsid w:val="2BFE5950"/>
    <w:rsid w:val="2C5B530C"/>
    <w:rsid w:val="2C843DC7"/>
    <w:rsid w:val="2D3C6388"/>
    <w:rsid w:val="2D761821"/>
    <w:rsid w:val="2DD43C45"/>
    <w:rsid w:val="2DE51610"/>
    <w:rsid w:val="2E08357C"/>
    <w:rsid w:val="2E416E54"/>
    <w:rsid w:val="2E504177"/>
    <w:rsid w:val="30285B0E"/>
    <w:rsid w:val="3067202D"/>
    <w:rsid w:val="313841F5"/>
    <w:rsid w:val="320016F9"/>
    <w:rsid w:val="32096215"/>
    <w:rsid w:val="325D09B0"/>
    <w:rsid w:val="32C97DB6"/>
    <w:rsid w:val="32DA553F"/>
    <w:rsid w:val="335254A8"/>
    <w:rsid w:val="34292CE5"/>
    <w:rsid w:val="343061B8"/>
    <w:rsid w:val="34B3576A"/>
    <w:rsid w:val="34B37D06"/>
    <w:rsid w:val="35CB352E"/>
    <w:rsid w:val="360637D0"/>
    <w:rsid w:val="36354353"/>
    <w:rsid w:val="3696131E"/>
    <w:rsid w:val="36C561D1"/>
    <w:rsid w:val="37912EB1"/>
    <w:rsid w:val="37D5281F"/>
    <w:rsid w:val="37DE4DFA"/>
    <w:rsid w:val="380E52AE"/>
    <w:rsid w:val="3830457E"/>
    <w:rsid w:val="38922234"/>
    <w:rsid w:val="38CB7473"/>
    <w:rsid w:val="392C4C81"/>
    <w:rsid w:val="392F71ED"/>
    <w:rsid w:val="399F2CDF"/>
    <w:rsid w:val="39BF18AF"/>
    <w:rsid w:val="3A250C66"/>
    <w:rsid w:val="3A363870"/>
    <w:rsid w:val="3A40523A"/>
    <w:rsid w:val="3A4C45A9"/>
    <w:rsid w:val="3A751CC9"/>
    <w:rsid w:val="3AA914BC"/>
    <w:rsid w:val="3AC21055"/>
    <w:rsid w:val="3B562952"/>
    <w:rsid w:val="3B7F140B"/>
    <w:rsid w:val="3B860DE9"/>
    <w:rsid w:val="3C0260B1"/>
    <w:rsid w:val="3C3A6FCB"/>
    <w:rsid w:val="3C714BA3"/>
    <w:rsid w:val="3C902971"/>
    <w:rsid w:val="3CBB2D87"/>
    <w:rsid w:val="3CD15CC2"/>
    <w:rsid w:val="3D547516"/>
    <w:rsid w:val="3DFA18F5"/>
    <w:rsid w:val="3DFB158F"/>
    <w:rsid w:val="3E0351AF"/>
    <w:rsid w:val="3E9F580B"/>
    <w:rsid w:val="3EB90605"/>
    <w:rsid w:val="3F021D35"/>
    <w:rsid w:val="3FCB3400"/>
    <w:rsid w:val="403316CD"/>
    <w:rsid w:val="41A3372E"/>
    <w:rsid w:val="420162F8"/>
    <w:rsid w:val="42543471"/>
    <w:rsid w:val="42646023"/>
    <w:rsid w:val="42652477"/>
    <w:rsid w:val="432B3848"/>
    <w:rsid w:val="4345383E"/>
    <w:rsid w:val="4357712A"/>
    <w:rsid w:val="44A1361B"/>
    <w:rsid w:val="44BB1D45"/>
    <w:rsid w:val="45396F7E"/>
    <w:rsid w:val="45423CE6"/>
    <w:rsid w:val="45446F69"/>
    <w:rsid w:val="45DE25F5"/>
    <w:rsid w:val="46AC31BB"/>
    <w:rsid w:val="46E25166"/>
    <w:rsid w:val="46F74436"/>
    <w:rsid w:val="475F3D89"/>
    <w:rsid w:val="4875318B"/>
    <w:rsid w:val="48854E51"/>
    <w:rsid w:val="49486832"/>
    <w:rsid w:val="495D230C"/>
    <w:rsid w:val="49837CFD"/>
    <w:rsid w:val="4A032155"/>
    <w:rsid w:val="4A494E3F"/>
    <w:rsid w:val="4A515838"/>
    <w:rsid w:val="4B722013"/>
    <w:rsid w:val="4B8D6CB9"/>
    <w:rsid w:val="4BDA395C"/>
    <w:rsid w:val="4C00451E"/>
    <w:rsid w:val="4C981072"/>
    <w:rsid w:val="4D001402"/>
    <w:rsid w:val="4D694F6D"/>
    <w:rsid w:val="4D78357A"/>
    <w:rsid w:val="4D7F2427"/>
    <w:rsid w:val="4DB875DF"/>
    <w:rsid w:val="4E233D34"/>
    <w:rsid w:val="4EAC01FC"/>
    <w:rsid w:val="4F5D22B1"/>
    <w:rsid w:val="4FD90C63"/>
    <w:rsid w:val="4FEB60BB"/>
    <w:rsid w:val="503C455E"/>
    <w:rsid w:val="512A365A"/>
    <w:rsid w:val="51CB5E46"/>
    <w:rsid w:val="52114682"/>
    <w:rsid w:val="528655BD"/>
    <w:rsid w:val="52C93FCA"/>
    <w:rsid w:val="53476745"/>
    <w:rsid w:val="53AB286F"/>
    <w:rsid w:val="53D71E36"/>
    <w:rsid w:val="53FE3D4D"/>
    <w:rsid w:val="542B1059"/>
    <w:rsid w:val="5469097F"/>
    <w:rsid w:val="54883742"/>
    <w:rsid w:val="55CB4D7D"/>
    <w:rsid w:val="565F1643"/>
    <w:rsid w:val="56CD2D92"/>
    <w:rsid w:val="56F838F5"/>
    <w:rsid w:val="57070EA0"/>
    <w:rsid w:val="57383B83"/>
    <w:rsid w:val="57525A8B"/>
    <w:rsid w:val="57727B08"/>
    <w:rsid w:val="57DB2953"/>
    <w:rsid w:val="57FA6EBC"/>
    <w:rsid w:val="59143EDA"/>
    <w:rsid w:val="59224924"/>
    <w:rsid w:val="59857916"/>
    <w:rsid w:val="5A5022EC"/>
    <w:rsid w:val="5AB34A85"/>
    <w:rsid w:val="5B174620"/>
    <w:rsid w:val="5B9954D7"/>
    <w:rsid w:val="5BA06D3D"/>
    <w:rsid w:val="5C614EC4"/>
    <w:rsid w:val="5E860470"/>
    <w:rsid w:val="5EA76113"/>
    <w:rsid w:val="5EFD7FB6"/>
    <w:rsid w:val="5F2B50FC"/>
    <w:rsid w:val="5F424080"/>
    <w:rsid w:val="5FA121C6"/>
    <w:rsid w:val="5FE25BBA"/>
    <w:rsid w:val="5FE94934"/>
    <w:rsid w:val="6015504B"/>
    <w:rsid w:val="60242D63"/>
    <w:rsid w:val="606A09DC"/>
    <w:rsid w:val="609F1D79"/>
    <w:rsid w:val="60B7759A"/>
    <w:rsid w:val="60F26C0E"/>
    <w:rsid w:val="60FD68BB"/>
    <w:rsid w:val="611C5BAF"/>
    <w:rsid w:val="612A4F20"/>
    <w:rsid w:val="61821BF5"/>
    <w:rsid w:val="61F001EB"/>
    <w:rsid w:val="629D7C06"/>
    <w:rsid w:val="62AC28BE"/>
    <w:rsid w:val="63326228"/>
    <w:rsid w:val="63A5793C"/>
    <w:rsid w:val="63D26489"/>
    <w:rsid w:val="63FF0D1D"/>
    <w:rsid w:val="643A600D"/>
    <w:rsid w:val="64AB4A58"/>
    <w:rsid w:val="65293EFC"/>
    <w:rsid w:val="656445B6"/>
    <w:rsid w:val="66230B8D"/>
    <w:rsid w:val="662D480C"/>
    <w:rsid w:val="66515D9E"/>
    <w:rsid w:val="6656014A"/>
    <w:rsid w:val="66B940A0"/>
    <w:rsid w:val="66FF79E0"/>
    <w:rsid w:val="67BB0B7E"/>
    <w:rsid w:val="68107B03"/>
    <w:rsid w:val="685A4399"/>
    <w:rsid w:val="69387A59"/>
    <w:rsid w:val="695A0B28"/>
    <w:rsid w:val="6AA5462C"/>
    <w:rsid w:val="6ABB53B3"/>
    <w:rsid w:val="6AC83126"/>
    <w:rsid w:val="6AF80F39"/>
    <w:rsid w:val="6B4456FA"/>
    <w:rsid w:val="6BB075EB"/>
    <w:rsid w:val="6BFE7A08"/>
    <w:rsid w:val="6C7B5880"/>
    <w:rsid w:val="6CD07C14"/>
    <w:rsid w:val="6D4B2364"/>
    <w:rsid w:val="6D7051F6"/>
    <w:rsid w:val="6D7E46BA"/>
    <w:rsid w:val="6DA4229B"/>
    <w:rsid w:val="6E6E2A3F"/>
    <w:rsid w:val="6EA82F2D"/>
    <w:rsid w:val="6FC72909"/>
    <w:rsid w:val="6FFC473D"/>
    <w:rsid w:val="70F63A15"/>
    <w:rsid w:val="71D13AED"/>
    <w:rsid w:val="72443F58"/>
    <w:rsid w:val="72A74016"/>
    <w:rsid w:val="72DB610A"/>
    <w:rsid w:val="72F55B2D"/>
    <w:rsid w:val="72F778B4"/>
    <w:rsid w:val="731A5F75"/>
    <w:rsid w:val="739A7D73"/>
    <w:rsid w:val="73D64B29"/>
    <w:rsid w:val="7452103C"/>
    <w:rsid w:val="751002ED"/>
    <w:rsid w:val="75204B38"/>
    <w:rsid w:val="75452D96"/>
    <w:rsid w:val="754D24B2"/>
    <w:rsid w:val="759B487F"/>
    <w:rsid w:val="75B71B91"/>
    <w:rsid w:val="75C03905"/>
    <w:rsid w:val="7612407A"/>
    <w:rsid w:val="763E73FD"/>
    <w:rsid w:val="76462152"/>
    <w:rsid w:val="764A164B"/>
    <w:rsid w:val="76672AEE"/>
    <w:rsid w:val="7668742A"/>
    <w:rsid w:val="766B7D30"/>
    <w:rsid w:val="76871335"/>
    <w:rsid w:val="76A13828"/>
    <w:rsid w:val="76AC7DE4"/>
    <w:rsid w:val="76CA5B8A"/>
    <w:rsid w:val="773C39DF"/>
    <w:rsid w:val="779E2A01"/>
    <w:rsid w:val="77F209E4"/>
    <w:rsid w:val="78086F57"/>
    <w:rsid w:val="784D3BE2"/>
    <w:rsid w:val="78F76C86"/>
    <w:rsid w:val="7A1E4845"/>
    <w:rsid w:val="7AC564A2"/>
    <w:rsid w:val="7B4E4739"/>
    <w:rsid w:val="7B532117"/>
    <w:rsid w:val="7C2A6F46"/>
    <w:rsid w:val="7CB73B5A"/>
    <w:rsid w:val="7CC304BC"/>
    <w:rsid w:val="7CDB52E3"/>
    <w:rsid w:val="7D0E79B6"/>
    <w:rsid w:val="7D192385"/>
    <w:rsid w:val="7D6B3BF3"/>
    <w:rsid w:val="7D6D73C7"/>
    <w:rsid w:val="7DAD323E"/>
    <w:rsid w:val="7DE54612"/>
    <w:rsid w:val="7DFC09F9"/>
    <w:rsid w:val="7E8B3A4D"/>
    <w:rsid w:val="7EFF1C3A"/>
    <w:rsid w:val="7F17306D"/>
    <w:rsid w:val="7F2D0EBA"/>
    <w:rsid w:val="7F30679E"/>
    <w:rsid w:val="7F716993"/>
    <w:rsid w:val="7F7618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Times New Roman" w:eastAsia="宋体" w:cs="Times New Roman"/>
      <w:sz w:val="21"/>
      <w:lang w:val="en-US" w:eastAsia="zh-CN" w:bidi="ar-SA"/>
    </w:rPr>
  </w:style>
  <w:style w:type="paragraph" w:styleId="3">
    <w:name w:val="annotation text"/>
    <w:basedOn w:val="1"/>
    <w:link w:val="24"/>
    <w:semiHidden/>
    <w:unhideWhenUsed/>
    <w:qFormat/>
    <w:uiPriority w:val="99"/>
    <w:pPr>
      <w:jc w:val="left"/>
    </w:pPr>
  </w:style>
  <w:style w:type="paragraph" w:styleId="4">
    <w:name w:val="Body Text"/>
    <w:basedOn w:val="1"/>
    <w:next w:val="1"/>
    <w:qFormat/>
    <w:uiPriority w:val="99"/>
    <w:pPr>
      <w:spacing w:after="120"/>
    </w:pPr>
    <w:rPr>
      <w:kern w:val="0"/>
      <w:sz w:val="24"/>
      <w:szCs w:val="24"/>
    </w:r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3"/>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0"/>
    <w:pPr>
      <w:spacing w:after="120" w:line="480" w:lineRule="auto"/>
    </w:pPr>
    <w:rPr>
      <w:rFonts w:ascii="Times New Roman" w:hAnsi="Times New Roman" w:eastAsia="宋体" w:cs="Times New Roman"/>
      <w:szCs w:val="20"/>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1">
    <w:name w:val="annotation subject"/>
    <w:basedOn w:val="3"/>
    <w:next w:val="3"/>
    <w:link w:val="25"/>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Hyperlink"/>
    <w:basedOn w:val="14"/>
    <w:unhideWhenUsed/>
    <w:qFormat/>
    <w:uiPriority w:val="99"/>
    <w:rPr>
      <w:color w:val="0000FF" w:themeColor="hyperlink"/>
      <w:u w:val="single"/>
    </w:rPr>
  </w:style>
  <w:style w:type="character" w:styleId="16">
    <w:name w:val="annotation reference"/>
    <w:basedOn w:val="14"/>
    <w:semiHidden/>
    <w:unhideWhenUsed/>
    <w:qFormat/>
    <w:uiPriority w:val="99"/>
    <w:rPr>
      <w:sz w:val="21"/>
      <w:szCs w:val="21"/>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paragraph" w:styleId="19">
    <w:name w:val="List Paragraph"/>
    <w:basedOn w:val="1"/>
    <w:qFormat/>
    <w:uiPriority w:val="34"/>
    <w:pPr>
      <w:ind w:firstLine="420" w:firstLineChars="200"/>
    </w:pPr>
  </w:style>
  <w:style w:type="paragraph" w:customStyle="1" w:styleId="20">
    <w:name w:val="样式5"/>
    <w:basedOn w:val="1"/>
    <w:qFormat/>
    <w:uiPriority w:val="0"/>
    <w:rPr>
      <w:rFonts w:ascii="宋体" w:hAnsi="Times New Roman" w:eastAsia="宋体" w:cs="宋体"/>
      <w:sz w:val="24"/>
      <w:szCs w:val="24"/>
    </w:rPr>
  </w:style>
  <w:style w:type="paragraph" w:customStyle="1" w:styleId="21">
    <w:name w:val="p0"/>
    <w:basedOn w:val="1"/>
    <w:qFormat/>
    <w:uiPriority w:val="0"/>
    <w:pPr>
      <w:widowControl/>
    </w:pPr>
    <w:rPr>
      <w:kern w:val="0"/>
      <w:szCs w:val="21"/>
    </w:rPr>
  </w:style>
  <w:style w:type="paragraph" w:customStyle="1" w:styleId="22">
    <w:name w:val="_Style 7"/>
    <w:basedOn w:val="1"/>
    <w:next w:val="19"/>
    <w:qFormat/>
    <w:uiPriority w:val="0"/>
    <w:pPr>
      <w:ind w:firstLine="420" w:firstLineChars="200"/>
    </w:pPr>
    <w:rPr>
      <w:rFonts w:ascii="Times New Roman" w:hAnsi="Times New Roman" w:eastAsia="宋体" w:cs="Times New Roman"/>
    </w:rPr>
  </w:style>
  <w:style w:type="character" w:customStyle="1" w:styleId="23">
    <w:name w:val="批注框文本 Char"/>
    <w:basedOn w:val="14"/>
    <w:link w:val="6"/>
    <w:semiHidden/>
    <w:qFormat/>
    <w:uiPriority w:val="99"/>
    <w:rPr>
      <w:rFonts w:asciiTheme="minorHAnsi" w:hAnsiTheme="minorHAnsi" w:eastAsiaTheme="minorEastAsia" w:cstheme="minorBidi"/>
      <w:kern w:val="2"/>
      <w:sz w:val="18"/>
      <w:szCs w:val="18"/>
    </w:rPr>
  </w:style>
  <w:style w:type="character" w:customStyle="1" w:styleId="24">
    <w:name w:val="批注文字 Char"/>
    <w:basedOn w:val="14"/>
    <w:link w:val="3"/>
    <w:semiHidden/>
    <w:qFormat/>
    <w:uiPriority w:val="99"/>
    <w:rPr>
      <w:rFonts w:asciiTheme="minorHAnsi" w:hAnsiTheme="minorHAnsi" w:eastAsiaTheme="minorEastAsia" w:cstheme="minorBidi"/>
      <w:kern w:val="2"/>
      <w:sz w:val="21"/>
      <w:szCs w:val="22"/>
    </w:rPr>
  </w:style>
  <w:style w:type="character" w:customStyle="1" w:styleId="25">
    <w:name w:val="批注主题 Char"/>
    <w:basedOn w:val="24"/>
    <w:link w:val="11"/>
    <w:semiHidden/>
    <w:qFormat/>
    <w:uiPriority w:val="99"/>
    <w:rPr>
      <w:rFonts w:asciiTheme="minorHAnsi" w:hAnsiTheme="minorHAnsi" w:eastAsiaTheme="minorEastAsia" w:cstheme="minorBidi"/>
      <w:b/>
      <w:bCs/>
      <w:kern w:val="2"/>
      <w:sz w:val="21"/>
      <w:szCs w:val="22"/>
    </w:rPr>
  </w:style>
  <w:style w:type="paragraph" w:customStyle="1" w:styleId="26">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27">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28">
    <w:name w:val="日期 Char"/>
    <w:basedOn w:val="14"/>
    <w:link w:val="5"/>
    <w:semiHidden/>
    <w:qFormat/>
    <w:uiPriority w:val="99"/>
    <w:rPr>
      <w:rFonts w:asciiTheme="minorHAnsi" w:hAnsiTheme="minorHAnsi" w:eastAsiaTheme="minorEastAsia"/>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B2684-9B35-41A9-8C7D-910BE847B2E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15349</Words>
  <Characters>16055</Characters>
  <Lines>127</Lines>
  <Paragraphs>35</Paragraphs>
  <TotalTime>13</TotalTime>
  <ScaleCrop>false</ScaleCrop>
  <LinksUpToDate>false</LinksUpToDate>
  <CharactersWithSpaces>16232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2024-07-31T09:12:00Z</dcterms:created>
  <dc:creator>微软用户</dc:creator>
  <cp:lastModifiedBy>白白</cp:lastModifiedBy>
  <cp:lastPrinted>2024-07-31T09:09:00Z</cp:lastPrinted>
  <dcterms:modified xsi:type="dcterms:W3CDTF">2025-08-26T02:14:15Z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DA33AEA07CAE4D39938A0DBA4C7EFD65</vt:lpwstr>
  </property>
  <property fmtid="{D5CDD505-2E9C-101B-9397-08002B2CF9AE}" pid="4" name="KSOTemplateDocerSaveRecord">
    <vt:lpwstr>eyJoZGlkIjoiYWE3YzIyMWEzYjY4NTYyZTRjMTI1Mzg4ZTFmYWE3MjEiLCJ1c2VySWQiOiIzMTIxNDU0OTQifQ==</vt:lpwstr>
  </property>
</Properties>
</file>